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3-bis</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R2-2309836</w:t>
      </w:r>
    </w:p>
    <w:p>
      <w:pPr>
        <w:pStyle w:val="18"/>
        <w:spacing w:before="120"/>
        <w:ind w:left="0" w:leftChars="0" w:firstLine="0" w:firstLineChars="0"/>
        <w:jc w:val="both"/>
        <w:rPr>
          <w:rFonts w:hint="default" w:ascii="Arial" w:hAnsi="Arial" w:cs="Arial"/>
          <w:sz w:val="24"/>
          <w:szCs w:val="24"/>
        </w:rPr>
      </w:pPr>
      <w:r>
        <w:rPr>
          <w:rFonts w:hint="eastAsia" w:eastAsia="宋体" w:cs="Arial"/>
          <w:sz w:val="24"/>
          <w:szCs w:val="24"/>
          <w:lang w:val="en-US" w:eastAsia="zh-CN"/>
        </w:rPr>
        <w:t>Xiamen</w:t>
      </w:r>
      <w:r>
        <w:rPr>
          <w:rFonts w:hint="default" w:ascii="Arial" w:hAnsi="Arial" w:cs="Arial"/>
          <w:sz w:val="24"/>
          <w:szCs w:val="24"/>
        </w:rPr>
        <w:t xml:space="preserve">, </w:t>
      </w:r>
      <w:r>
        <w:rPr>
          <w:rFonts w:hint="eastAsia" w:eastAsia="宋体" w:cs="Arial"/>
          <w:sz w:val="24"/>
          <w:szCs w:val="24"/>
          <w:lang w:val="en-US" w:eastAsia="zh-CN"/>
        </w:rPr>
        <w:t>China</w:t>
      </w:r>
      <w:r>
        <w:rPr>
          <w:rFonts w:hint="default" w:ascii="Arial" w:hAnsi="Arial" w:cs="Arial"/>
          <w:sz w:val="24"/>
          <w:szCs w:val="24"/>
        </w:rPr>
        <w:t xml:space="preserve">, </w:t>
      </w:r>
      <w:r>
        <w:rPr>
          <w:rFonts w:hint="eastAsia" w:eastAsia="宋体" w:cs="Arial"/>
          <w:sz w:val="24"/>
          <w:szCs w:val="24"/>
          <w:lang w:val="en-US" w:eastAsia="zh-CN"/>
        </w:rPr>
        <w:t>October</w:t>
      </w:r>
      <w:r>
        <w:rPr>
          <w:rFonts w:hint="default" w:ascii="Arial" w:hAnsi="Arial" w:cs="Arial"/>
          <w:sz w:val="24"/>
          <w:szCs w:val="24"/>
        </w:rPr>
        <w:t xml:space="preserve"> </w:t>
      </w:r>
      <w:r>
        <w:rPr>
          <w:rFonts w:hint="eastAsia" w:eastAsia="宋体" w:cs="Arial"/>
          <w:sz w:val="24"/>
          <w:szCs w:val="24"/>
          <w:lang w:val="en-US" w:eastAsia="zh-CN"/>
        </w:rPr>
        <w:t>9</w:t>
      </w:r>
      <w:r>
        <w:rPr>
          <w:rFonts w:hint="default" w:ascii="Arial" w:hAnsi="Arial" w:cs="Arial"/>
          <w:sz w:val="24"/>
          <w:szCs w:val="24"/>
        </w:rPr>
        <w:t xml:space="preserve"> – </w:t>
      </w:r>
      <w:r>
        <w:rPr>
          <w:rFonts w:hint="eastAsia" w:eastAsia="宋体" w:cs="Arial"/>
          <w:sz w:val="24"/>
          <w:szCs w:val="24"/>
          <w:lang w:val="en-US" w:eastAsia="zh-CN"/>
        </w:rPr>
        <w:t>13</w:t>
      </w:r>
      <w:r>
        <w:rPr>
          <w:rFonts w:hint="default" w:ascii="Arial" w:hAnsi="Arial" w:cs="Arial"/>
          <w:sz w:val="24"/>
          <w:szCs w:val="24"/>
        </w:rPr>
        <w:t>, 2023</w:t>
      </w:r>
    </w:p>
    <w:p>
      <w:pPr>
        <w:pStyle w:val="18"/>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18"/>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Remaining issues</w:t>
      </w:r>
      <w:r>
        <w:rPr>
          <w:rFonts w:hint="eastAsia" w:ascii="Arial" w:hAnsi="Arial" w:cs="Arial"/>
          <w:b/>
          <w:bCs/>
          <w:snapToGrid w:val="0"/>
          <w:kern w:val="0"/>
          <w:sz w:val="24"/>
          <w:lang w:val="en-US" w:eastAsia="zh-CN"/>
        </w:rPr>
        <w:t xml:space="preserve"> on CHO with candidate SCG(s)</w:t>
      </w:r>
    </w:p>
    <w:p>
      <w:pPr>
        <w:pStyle w:val="18"/>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4</w:t>
      </w:r>
    </w:p>
    <w:p>
      <w:pPr>
        <w:pStyle w:val="18"/>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0"/>
        <w:rPr>
          <w:rFonts w:hint="eastAsia"/>
          <w:szCs w:val="21"/>
          <w:lang w:val="en-US" w:eastAsia="zh-CN"/>
        </w:rPr>
      </w:pPr>
      <w:r>
        <w:rPr>
          <w:rFonts w:hint="eastAsia"/>
          <w:szCs w:val="21"/>
          <w:lang w:val="en-US" w:eastAsia="zh-CN"/>
        </w:rPr>
        <w:t xml:space="preserve">At last meeting, RAN2 discussed CHO with candidate SCG(s) and made the following agreements [1]: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UE does not remove the configuration for CHO including target MCG and candidate SCG configuration automatically when SCG is to be released.</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R2 assumes Source MN initiates the preparation of the R18 CHO with candidate SCG(s), e.g., S-MN tells the T-MN whether it is allowed to configure candidate SCG(s). </w:t>
            </w:r>
            <w:r>
              <w:rPr>
                <w:rFonts w:ascii="Arial" w:hAnsi="Arial" w:eastAsia="MS Mincho" w:cs="Times New Roman"/>
                <w:b/>
                <w:szCs w:val="24"/>
                <w:highlight w:val="yellow"/>
                <w:lang w:val="en-GB" w:eastAsia="en-GB" w:bidi="ar-SA"/>
              </w:rPr>
              <w:t>FFS the signalling details.</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candidate MN recommends the candidate PSCells to candidate SN (for CHO with MN-initiated CPC). </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yellow"/>
                <w:lang w:val="en-GB" w:eastAsia="en-GB" w:bidi="ar-SA"/>
              </w:rPr>
            </w:pPr>
            <w:r>
              <w:rPr>
                <w:rFonts w:ascii="Arial" w:hAnsi="Arial" w:eastAsia="MS Mincho" w:cs="Times New Roman"/>
                <w:b/>
                <w:szCs w:val="24"/>
                <w:highlight w:val="yellow"/>
                <w:lang w:val="en-GB" w:eastAsia="en-GB" w:bidi="ar-SA"/>
              </w:rPr>
              <w:t>CHO recovery details to handle the additions brought by this feature is FFS</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R2 assumes </w:t>
            </w:r>
            <w:bookmarkStart w:id="0" w:name="OLE_LINK92"/>
            <w:r>
              <w:rPr>
                <w:rFonts w:ascii="Arial" w:hAnsi="Arial" w:eastAsia="MS Mincho" w:cs="Times New Roman"/>
                <w:b/>
                <w:szCs w:val="24"/>
                <w:highlight w:val="none"/>
                <w:lang w:val="en-GB" w:eastAsia="en-GB" w:bidi="ar-SA"/>
              </w:rPr>
              <w:t xml:space="preserve">for this R18 feature </w:t>
            </w:r>
            <w:bookmarkEnd w:id="0"/>
            <w:r>
              <w:rPr>
                <w:rFonts w:ascii="Arial" w:hAnsi="Arial" w:eastAsia="MS Mincho" w:cs="Times New Roman"/>
                <w:b/>
                <w:szCs w:val="24"/>
                <w:highlight w:val="none"/>
                <w:lang w:val="en-GB" w:eastAsia="en-GB" w:bidi="ar-SA"/>
              </w:rPr>
              <w:t>that the UE does not need to continue conditional reconfiguration evaluation for CHO with Candidate SCG(s) upon initiating SCG failure information procedure</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Recommendation of the candidate PSCells can be based on measurement results.</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R2 assumes for this R18 feature that the evaluation of the execution conditions for CHO with Candidate SCG(s) do not need to continue once PSCell change is triggered.</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maxNrofCondCells = max number of conditional configurations that the UE can store (is assumed to be a memory limitation), </w:t>
            </w:r>
            <w:r>
              <w:rPr>
                <w:rFonts w:ascii="Arial" w:hAnsi="Arial" w:eastAsia="MS Mincho" w:cs="Times New Roman"/>
                <w:b/>
                <w:szCs w:val="24"/>
                <w:highlight w:val="yellow"/>
                <w:lang w:val="en-GB" w:eastAsia="en-GB" w:bidi="ar-SA"/>
              </w:rPr>
              <w:t>value FFS</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selectedCondRRCReconfig-r17 is not reused to indicate the selected target SCG to the target MN, i.e., UE indicates physCellId and ARFCN-ValueNR of the selected PSCell to target MN.</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condEventA3 or condEventA5 is not used for the execution conditions for candidate PSCells (can be revisited later if strong justification can be provided)</w:t>
            </w:r>
          </w:p>
          <w:p>
            <w:pPr>
              <w:numPr>
                <w:ilvl w:val="0"/>
                <w:numId w:val="8"/>
              </w:numPr>
              <w:tabs>
                <w:tab w:val="left" w:pos="419"/>
              </w:tabs>
              <w:overflowPunct/>
              <w:autoSpaceDE/>
              <w:autoSpaceDN/>
              <w:adjustRightInd/>
              <w:spacing w:before="60" w:after="0" w:line="240" w:lineRule="auto"/>
              <w:ind w:left="58" w:leftChars="29"/>
              <w:jc w:val="left"/>
              <w:textAlignment w:val="auto"/>
              <w:rPr>
                <w:bCs/>
                <w:lang w:eastAsia="zh-CN"/>
              </w:rPr>
            </w:pPr>
            <w:r>
              <w:rPr>
                <w:rFonts w:ascii="Arial" w:hAnsi="Arial" w:eastAsia="MS Mincho" w:cs="Times New Roman"/>
                <w:b/>
                <w:szCs w:val="24"/>
                <w:highlight w:val="none"/>
                <w:lang w:val="en-GB" w:eastAsia="en-GB" w:bidi="ar-SA"/>
              </w:rPr>
              <w:t>condEvent A4 to be used for current PSCell (i.e., in case it is configured as candidate PSCell for evaluation) for CHO with candidate SCGs case.</w:t>
            </w:r>
          </w:p>
        </w:tc>
      </w:tr>
    </w:tbl>
    <w:p>
      <w:pPr>
        <w:spacing w:before="120" w:after="0"/>
        <w:rPr>
          <w:rFonts w:hint="eastAsia"/>
          <w:szCs w:val="21"/>
          <w:lang w:val="en-US" w:eastAsia="zh-CN"/>
        </w:rPr>
      </w:pPr>
      <w:r>
        <w:rPr>
          <w:rFonts w:hint="eastAsia"/>
          <w:szCs w:val="21"/>
          <w:lang w:val="en-US" w:eastAsia="zh-CN"/>
        </w:rPr>
        <w:t>In this contribution, we discussed some remaining issues on CHO with candidate SCG(s).</w:t>
      </w:r>
    </w:p>
    <w:p>
      <w:pPr>
        <w:pStyle w:val="2"/>
        <w:spacing w:before="120" w:after="120"/>
      </w:pPr>
      <w:r>
        <w:rPr>
          <w:rFonts w:hint="eastAsia"/>
        </w:rPr>
        <w:t>Discussion</w:t>
      </w:r>
      <w:r>
        <w:t>s</w:t>
      </w:r>
      <w:r>
        <w:rPr>
          <w:rFonts w:hint="eastAsia"/>
        </w:rPr>
        <w:t xml:space="preserve"> </w:t>
      </w:r>
    </w:p>
    <w:p>
      <w:pPr>
        <w:pStyle w:val="3"/>
        <w:bidi w:val="0"/>
        <w:rPr>
          <w:rFonts w:hint="default"/>
          <w:lang w:val="en-US" w:eastAsia="zh-CN"/>
        </w:rPr>
      </w:pPr>
      <w:r>
        <w:rPr>
          <w:rFonts w:hint="eastAsia"/>
          <w:lang w:val="en-US" w:eastAsia="zh-CN"/>
        </w:rPr>
        <w:t>Maximum number of conditional reconfigurations</w:t>
      </w:r>
    </w:p>
    <w:p>
      <w:pPr>
        <w:widowControl w:val="0"/>
        <w:numPr>
          <w:ilvl w:val="0"/>
          <w:numId w:val="0"/>
        </w:numPr>
        <w:ind w:leftChars="0"/>
        <w:jc w:val="both"/>
        <w:rPr>
          <w:rFonts w:hint="eastAsia"/>
          <w:b w:val="0"/>
          <w:bCs w:val="0"/>
          <w:lang w:val="en-US" w:eastAsia="zh-CN"/>
        </w:rPr>
      </w:pPr>
      <w:r>
        <w:rPr>
          <w:rFonts w:hint="eastAsia"/>
          <w:b w:val="0"/>
          <w:bCs w:val="0"/>
          <w:lang w:val="en-US" w:eastAsia="zh-CN"/>
        </w:rPr>
        <w:t>At last meeting, RAN2 discussed whether to extend maxNrofCondCells-r16 for CHO with candidate SCG(s). And it</w:t>
      </w:r>
      <w:r>
        <w:rPr>
          <w:rFonts w:hint="default"/>
          <w:b w:val="0"/>
          <w:bCs w:val="0"/>
          <w:lang w:val="en-US" w:eastAsia="zh-CN"/>
        </w:rPr>
        <w:t>’</w:t>
      </w:r>
      <w:r>
        <w:rPr>
          <w:rFonts w:hint="eastAsia"/>
          <w:b w:val="0"/>
          <w:bCs w:val="0"/>
          <w:lang w:val="en-US" w:eastAsia="zh-CN"/>
        </w:rPr>
        <w:t>s clarified that this parameter refers to max number of conditional reconfigurations that the UE can store, which is assumed to be a memory limitation. Currently, at most 8 conditional reconfigurations can be provided to the UE for CHO and CPAC. Given that one conditional reconfiguration for CHO with candidate SCG(s) includes only one MCG configuration and one SCG configuration (like Rel-17 CHO with SCG configuration), and it can be up to the NW implementation whether to provide the complementary CHO configuration for the same candidate PCell if there is CHO with candidate SCG(s). We see no strong need to extend the maximum value even if CHO with candidate SCG(s) is supported. Thus, we think the existing maxNrofCondCells-r16 can be reused for conditional reconfigurations, i.e. the maximum number is 8.</w:t>
      </w:r>
    </w:p>
    <w:p>
      <w:pPr>
        <w:pStyle w:val="20"/>
        <w:bidi w:val="0"/>
        <w:rPr>
          <w:rFonts w:hint="eastAsia"/>
          <w:lang w:val="en-US" w:eastAsia="zh-CN"/>
        </w:rPr>
      </w:pPr>
      <w:r>
        <w:rPr>
          <w:rFonts w:hint="eastAsia"/>
          <w:lang w:val="en-US" w:eastAsia="zh-CN"/>
        </w:rPr>
        <w:t>RAN2 confirms the maximum number of conditional reconfigurations is 8, i.e. no need to extend the value of maxNrofCondCells.</w:t>
      </w:r>
    </w:p>
    <w:p>
      <w:pPr>
        <w:pStyle w:val="3"/>
        <w:bidi w:val="0"/>
        <w:rPr>
          <w:rFonts w:hint="eastAsia"/>
          <w:lang w:val="en-US" w:eastAsia="zh-CN"/>
        </w:rPr>
      </w:pPr>
      <w:r>
        <w:rPr>
          <w:rFonts w:hint="eastAsia"/>
          <w:lang w:val="en-US" w:eastAsia="zh-CN"/>
        </w:rPr>
        <w:t>CHO based recovery</w:t>
      </w:r>
    </w:p>
    <w:p>
      <w:pPr>
        <w:bidi w:val="0"/>
        <w:rPr>
          <w:rFonts w:hint="eastAsia" w:eastAsia="宋体"/>
          <w:lang w:val="en-US" w:eastAsia="zh-CN"/>
        </w:rPr>
      </w:pPr>
      <w:r>
        <w:rPr>
          <w:rFonts w:hint="eastAsia" w:eastAsia="宋体"/>
          <w:lang w:val="en-US" w:eastAsia="zh-CN"/>
        </w:rPr>
        <w:t xml:space="preserve">At last meeting, RAN2 discussed whether to support CHO with candidate SCG(s) configuration for CHO based recovery, but no consensus was reached. In the legacy procedure, if attemptCondReconfig has been configured, and if the UE selects a CHO candidate cell during cell re-selection, the UE can apply the CHO configuration to execute CHO based recovery. Otherwise, the legacy re-establishment procedure is triggered. In Rel-16/Rel-17 CHO, there is only execution condition for candidate PCell. But in Rel-18 CHO with candidate SCG(s), there are execution conditions for both candidate PCell and candidate PSCell. Thus, some companies concerned that applying CHO with candidate SCG(s) configuration for CHO based recovery may cause the PSCell change failure since the UE only evaluates the PCell condition but not for PSCell evaluation during RRC re-establishment. However, the same issue may also happen in Rel-17 CHO with SCG configuration where the target PSCell is blindly applied. </w:t>
      </w:r>
    </w:p>
    <w:p>
      <w:pPr>
        <w:bidi w:val="0"/>
        <w:rPr>
          <w:rFonts w:hint="eastAsia" w:eastAsia="宋体"/>
          <w:lang w:val="en-US" w:eastAsia="zh-CN"/>
        </w:rPr>
      </w:pPr>
      <w:r>
        <w:rPr>
          <w:rFonts w:hint="eastAsia" w:eastAsia="宋体"/>
          <w:lang w:val="en-US" w:eastAsia="zh-CN"/>
        </w:rPr>
        <w:t xml:space="preserve">Another issue is that there may be multiple conditional configurations associated with the same candidate PCell, it is unclear how does the UE select the CHO configuration to be applied. In our understanding, for CHO with candidate SCG(s), the NW may also provide the Rel-16 CHO-only or Rel-17 CHO with SCG configuration for the same candidate PCell, in order to ensure the CHO can be executed in time when the CHO execution condition is met. </w:t>
      </w:r>
    </w:p>
    <w:p>
      <w:pPr>
        <w:pStyle w:val="19"/>
        <w:bidi w:val="0"/>
        <w:rPr>
          <w:rFonts w:hint="default"/>
          <w:lang w:val="en-US" w:eastAsia="zh-CN"/>
        </w:rPr>
      </w:pPr>
      <w:r>
        <w:rPr>
          <w:rFonts w:hint="eastAsia"/>
          <w:lang w:val="en-US" w:eastAsia="zh-CN"/>
        </w:rPr>
        <w:t>For CHO with candidate SCG(s), it</w:t>
      </w:r>
      <w:r>
        <w:rPr>
          <w:rFonts w:hint="default"/>
          <w:lang w:val="en-US" w:eastAsia="zh-CN"/>
        </w:rPr>
        <w:t>’</w:t>
      </w:r>
      <w:r>
        <w:rPr>
          <w:rFonts w:hint="eastAsia"/>
          <w:lang w:val="en-US" w:eastAsia="zh-CN"/>
        </w:rPr>
        <w:t>s assumed that the NW can also provide the complementary Rel-16/Rel-17 CHO configuration for the same candidate PCell, to ensure the CHO can be executed in time when the CHO execution condition is met.</w:t>
      </w:r>
    </w:p>
    <w:p>
      <w:pPr>
        <w:bidi w:val="0"/>
        <w:rPr>
          <w:rFonts w:hint="eastAsia" w:eastAsia="宋体"/>
          <w:lang w:val="en-US" w:eastAsia="zh-CN"/>
        </w:rPr>
      </w:pPr>
      <w:r>
        <w:rPr>
          <w:rFonts w:hint="eastAsia" w:eastAsia="宋体"/>
          <w:lang w:val="en-US" w:eastAsia="zh-CN"/>
        </w:rPr>
        <w:t>Thus, in order to simplify the CHO based recovery procedure and avoid the recovery failure due to the blind target PSCell change as much as possible, we think the UE can apply the legacy CHO configuration (i.e. without the associated execution condition for candidate PSCell) for the selected candidate PCell if there are multiple conditional configurations associated with the same selected candidate PCell.</w:t>
      </w:r>
    </w:p>
    <w:p>
      <w:pPr>
        <w:pStyle w:val="20"/>
        <w:bidi w:val="0"/>
        <w:rPr>
          <w:rFonts w:hint="default"/>
          <w:lang w:val="en-US" w:eastAsia="zh-CN"/>
        </w:rPr>
      </w:pPr>
      <w:r>
        <w:rPr>
          <w:rFonts w:hint="eastAsia"/>
          <w:lang w:val="en-US" w:eastAsia="zh-CN"/>
        </w:rPr>
        <w:t>In CHO based recovery, the UE prioritizes to apply the legacy CHO configuration (i.e. without the associated execution condition for candidate PSCell) for the selected candidate PCell if there are multiple conditional reconfigurations associated with the same candidate PCell.</w:t>
      </w:r>
    </w:p>
    <w:p>
      <w:pPr>
        <w:pStyle w:val="3"/>
        <w:bidi w:val="0"/>
        <w:rPr>
          <w:rFonts w:hint="default"/>
          <w:lang w:val="en-US" w:eastAsia="zh-CN"/>
        </w:rPr>
      </w:pPr>
      <w:r>
        <w:rPr>
          <w:rFonts w:hint="eastAsia"/>
          <w:lang w:val="en-US" w:eastAsia="zh-CN"/>
        </w:rPr>
        <w:t>CHO with candidate SCG(s) execution</w:t>
      </w:r>
    </w:p>
    <w:p>
      <w:pPr>
        <w:bidi w:val="0"/>
        <w:rPr>
          <w:rFonts w:hint="default"/>
          <w:lang w:val="en-US"/>
        </w:rPr>
      </w:pPr>
      <w:r>
        <w:rPr>
          <w:rFonts w:hint="eastAsia" w:eastAsia="宋体"/>
          <w:lang w:val="en-US" w:eastAsia="zh-CN"/>
        </w:rPr>
        <w:t>In CHO with candidate SCG(s), the UE shall execute the procedure only when both execution condition(s) for candidate PCell and execution condition(s) for the associated candidate PSCell are met. In order to not delay the CHO execution when the execution condition(s) for candidate PCell is met, the NW can provide the legacy CHO configuration for the same candidate PCell. Thus, there may be multiple conditional configurations for the same candidate PCell when the execution conditions for CHO with candidate SCG(s) and the execution condition(s) for complementary CHO configuration are met. In such case, we think the UE should prioritize the execution of CHO with candidate SCG(s) considering that the quality of target PSCell is also satisfied.</w:t>
      </w:r>
    </w:p>
    <w:p>
      <w:pPr>
        <w:pStyle w:val="20"/>
        <w:bidi w:val="0"/>
        <w:rPr>
          <w:rFonts w:hint="default"/>
          <w:lang w:val="en-US" w:eastAsia="zh-CN"/>
        </w:rPr>
      </w:pPr>
      <w:r>
        <w:rPr>
          <w:rFonts w:hint="eastAsia"/>
          <w:lang w:val="en-US" w:eastAsia="zh-CN"/>
        </w:rPr>
        <w:t xml:space="preserve">If both the execution conditions for CHO with candidate SCG(s) are met and the execution condition(s) for the legacy CHO configuration for the same candidate PCell is met, the UE prioritizes to execute the CHO with candidate SCG(s). </w:t>
      </w:r>
    </w:p>
    <w:p>
      <w:pPr>
        <w:pStyle w:val="3"/>
        <w:bidi w:val="0"/>
        <w:rPr>
          <w:rFonts w:hint="default"/>
          <w:lang w:val="en-US" w:eastAsia="zh-CN"/>
        </w:rPr>
      </w:pPr>
      <w:r>
        <w:rPr>
          <w:rFonts w:hint="eastAsia"/>
          <w:lang w:val="en-US" w:eastAsia="zh-CN"/>
        </w:rPr>
        <w:t>Handling on CHO with candidate SCG(s) configuration upon PSCell addition/change</w:t>
      </w:r>
    </w:p>
    <w:p>
      <w:pPr>
        <w:bidi w:val="0"/>
        <w:rPr>
          <w:rFonts w:hint="eastAsia" w:eastAsia="宋体"/>
          <w:lang w:val="en-US" w:eastAsia="zh-CN"/>
        </w:rPr>
      </w:pPr>
      <w:r>
        <w:rPr>
          <w:rFonts w:hint="eastAsia" w:eastAsia="宋体"/>
          <w:lang w:val="en-US" w:eastAsia="zh-CN"/>
        </w:rPr>
        <w:t>In the legacy procedure, if the CPA or CPC was configured, upon completion of SCG reconfiguration with sync (i.e. PSCell addition/change), the UE shall remove all stored conditional configurations. If there is no CPA or CPC configured, the UE shall not remove the stored conditional configurations upon completion of SCG reconfiguration with sync. For CHO with candidate SCG(s), anyway it can be up to the NW implementation to release or update the invalid CHO with candidate SCG(s) configuration after PSCell addition/change. Thus, we can simply to reuse the existing handling for CHO with candidate SCG(s).</w:t>
      </w:r>
    </w:p>
    <w:p>
      <w:pPr>
        <w:pStyle w:val="20"/>
        <w:bidi w:val="0"/>
        <w:rPr>
          <w:rFonts w:hint="eastAsia"/>
        </w:rPr>
      </w:pPr>
      <w:r>
        <w:rPr>
          <w:rFonts w:hint="eastAsia"/>
          <w:lang w:val="en-US" w:eastAsia="zh-CN"/>
        </w:rPr>
        <w:t>If the CPA or CPC was not configured, the UE shall not remove the CHO with candidate SCG(s) configuration upon PSCell addition/change, i.e. no change to the current spec is expected.</w:t>
      </w:r>
    </w:p>
    <w:p>
      <w:pPr>
        <w:pStyle w:val="3"/>
        <w:bidi w:val="0"/>
        <w:rPr>
          <w:rFonts w:hint="default"/>
          <w:lang w:val="en-US" w:eastAsia="zh-CN"/>
        </w:rPr>
      </w:pPr>
      <w:r>
        <w:rPr>
          <w:rFonts w:hint="eastAsia"/>
          <w:lang w:val="en-US" w:eastAsia="zh-CN"/>
        </w:rPr>
        <w:t>Execution condition parameters for the candidate PSCell</w:t>
      </w:r>
    </w:p>
    <w:p>
      <w:pPr>
        <w:bidi w:val="0"/>
        <w:rPr>
          <w:rFonts w:hint="default" w:eastAsia="宋体"/>
          <w:lang w:val="en-US" w:eastAsia="zh-CN"/>
        </w:rPr>
      </w:pPr>
      <w:r>
        <w:rPr>
          <w:rFonts w:hint="eastAsia" w:eastAsia="宋体"/>
          <w:lang w:val="en-US" w:eastAsia="zh-CN"/>
        </w:rPr>
        <w:t>In RAN2#122 meeting, it</w:t>
      </w:r>
      <w:r>
        <w:rPr>
          <w:rFonts w:hint="default" w:eastAsia="宋体"/>
          <w:lang w:val="en-US" w:eastAsia="zh-CN"/>
        </w:rPr>
        <w:t>’</w:t>
      </w:r>
      <w:r>
        <w:rPr>
          <w:rFonts w:hint="eastAsia" w:eastAsia="宋体"/>
          <w:lang w:val="en-US" w:eastAsia="zh-CN"/>
        </w:rPr>
        <w:t xml:space="preserve">s agreed that the candidate MN informs the source MN about the prepared candidate PSCells and parameters of the associated execution conditions. And then the source MN provides the execution conditions (i.e. </w:t>
      </w:r>
      <w:r>
        <w:rPr>
          <w:rFonts w:hint="eastAsia" w:eastAsia="宋体"/>
          <w:i/>
          <w:iCs/>
          <w:lang w:val="en-US" w:eastAsia="zh-CN"/>
        </w:rPr>
        <w:t>meas_Ids</w:t>
      </w:r>
      <w:r>
        <w:rPr>
          <w:rFonts w:hint="eastAsia" w:eastAsia="宋体"/>
          <w:lang w:val="en-US" w:eastAsia="zh-CN"/>
        </w:rPr>
        <w:t xml:space="preserve"> referring to the source MCG </w:t>
      </w:r>
      <w:r>
        <w:rPr>
          <w:rFonts w:hint="eastAsia" w:eastAsia="宋体"/>
          <w:i/>
          <w:iCs/>
          <w:lang w:val="en-US" w:eastAsia="zh-CN"/>
        </w:rPr>
        <w:t>MeasConfig</w:t>
      </w:r>
      <w:r>
        <w:rPr>
          <w:rFonts w:hint="eastAsia" w:eastAsia="宋体"/>
          <w:lang w:val="en-US" w:eastAsia="zh-CN"/>
        </w:rPr>
        <w:t>) for candidate PSCells and the associated MCG measurement configurations to the UE. Currently, only CondEvent A4 can be configured as the execution condition for candidate PSCell. The definition and configuration of CondEvent A4 in TS 38.331 [2] is shown as follows.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 w:name="_Toc60776890"/>
            <w:bookmarkStart w:id="2" w:name="_Toc139045153"/>
            <w:r>
              <w:rPr>
                <w:rFonts w:ascii="Arial" w:hAnsi="Arial" w:eastAsia="Times New Roman" w:cs="Times New Roman"/>
                <w:sz w:val="24"/>
                <w:lang w:val="en-GB" w:eastAsia="ja-JP" w:bidi="ar-SA"/>
              </w:rPr>
              <w:t>5.5.4.5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Event A4 (Neighbour becomes better than threshold)</w:t>
            </w:r>
            <w:bookmarkEnd w:id="1"/>
            <w:bookmarkEnd w:id="2"/>
          </w:p>
          <w:p>
            <w:pPr>
              <w:overflowPunct w:val="0"/>
              <w:autoSpaceDE w:val="0"/>
              <w:autoSpaceDN w:val="0"/>
              <w:adjustRightInd w:val="0"/>
              <w:spacing w:before="0"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entering condition for this event to be satisfied when condition A4-1, as specified below, is fulfilled;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leaving condition for this event to be satisfied when condition A4-2, as specified below, is fulfilled.</w:t>
            </w:r>
          </w:p>
          <w:p>
            <w:pPr>
              <w:overflowPunct w:val="0"/>
              <w:autoSpaceDE w:val="0"/>
              <w:autoSpaceDN w:val="0"/>
              <w:adjustRightInd w:val="0"/>
              <w:spacing w:before="0"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ko-KR"/>
              </w:rPr>
              <w:t>Inequality</w:t>
            </w:r>
            <w:r>
              <w:rPr>
                <w:rFonts w:ascii="Times New Roman" w:hAnsi="Times New Roman" w:eastAsia="Times New Roman" w:cs="Times New Roman"/>
                <w:kern w:val="0"/>
                <w:lang w:val="en-GB" w:eastAsia="ja-JP"/>
              </w:rPr>
              <w:t xml:space="preserve"> A4-1 (Entering condition)</w:t>
            </w:r>
          </w:p>
          <w:p>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i/>
                <w:iCs/>
                <w:lang w:val="en-GB" w:eastAsia="ja-JP" w:bidi="ar-SA"/>
              </w:rPr>
              <w:t>Mn + Ofn + Ocn – Hys &gt; Thresh</w:t>
            </w:r>
          </w:p>
          <w:p>
            <w:pPr>
              <w:overflowPunct w:val="0"/>
              <w:autoSpaceDE w:val="0"/>
              <w:autoSpaceDN w:val="0"/>
              <w:adjustRightInd w:val="0"/>
              <w:spacing w:before="0"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ko-KR"/>
              </w:rPr>
              <w:t>Inequality</w:t>
            </w:r>
            <w:r>
              <w:rPr>
                <w:rFonts w:ascii="Times New Roman" w:hAnsi="Times New Roman" w:eastAsia="Times New Roman" w:cs="Times New Roman"/>
                <w:kern w:val="0"/>
                <w:lang w:val="en-GB" w:eastAsia="ja-JP"/>
              </w:rPr>
              <w:t xml:space="preserve"> A4-2 (Leaving condition)</w:t>
            </w:r>
          </w:p>
          <w:p>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i/>
                <w:iCs/>
                <w:lang w:val="en-GB" w:eastAsia="ja-JP" w:bidi="ar-SA"/>
              </w:rPr>
              <w:t>Mn + Ofn + Ocn + Hys &lt; Thresh</w:t>
            </w:r>
          </w:p>
          <w:p>
            <w:pPr>
              <w:overflowPunct w:val="0"/>
              <w:autoSpaceDE w:val="0"/>
              <w:autoSpaceDN w:val="0"/>
              <w:adjustRightInd w:val="0"/>
              <w:spacing w:before="0"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The variables in the formula are defined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b/>
                <w:i/>
                <w:lang w:val="en-GB" w:eastAsia="ja-JP" w:bidi="ar-SA"/>
              </w:rPr>
              <w:t xml:space="preserve">Mn </w:t>
            </w:r>
            <w:r>
              <w:rPr>
                <w:rFonts w:ascii="Times New Roman" w:hAnsi="Times New Roman" w:eastAsia="Times New Roman" w:cs="Times New Roman"/>
                <w:lang w:val="en-GB" w:eastAsia="ja-JP" w:bidi="ar-SA"/>
              </w:rPr>
              <w:t>is the measurement result of the neighbouring cell, not taking into account any offsets.</w:t>
            </w:r>
          </w:p>
          <w:p>
            <w:pPr>
              <w:overflowPunct w:val="0"/>
              <w:autoSpaceDE w:val="0"/>
              <w:autoSpaceDN w:val="0"/>
              <w:adjustRightInd w:val="0"/>
              <w:spacing w:after="180"/>
              <w:ind w:left="568" w:hanging="284"/>
              <w:textAlignment w:val="baseline"/>
              <w:rPr>
                <w:rFonts w:ascii="Times New Roman" w:hAnsi="Times New Roman" w:eastAsia="Times New Roman" w:cs="Times New Roman"/>
                <w:i/>
                <w:highlight w:val="yellow"/>
                <w:lang w:val="en-GB" w:eastAsia="ja-JP" w:bidi="ar-SA"/>
              </w:rPr>
            </w:pPr>
            <w:r>
              <w:rPr>
                <w:rFonts w:ascii="Times New Roman" w:hAnsi="Times New Roman" w:eastAsia="Times New Roman" w:cs="Times New Roman"/>
                <w:b/>
                <w:i/>
                <w:highlight w:val="yellow"/>
                <w:lang w:val="en-GB" w:eastAsia="ja-JP" w:bidi="ar-SA"/>
              </w:rPr>
              <w:t xml:space="preserve">Ofn </w:t>
            </w:r>
            <w:r>
              <w:rPr>
                <w:rFonts w:ascii="Times New Roman" w:hAnsi="Times New Roman" w:eastAsia="Times New Roman" w:cs="Times New Roman"/>
                <w:highlight w:val="yellow"/>
                <w:lang w:val="en-GB" w:eastAsia="ja-JP" w:bidi="ar-SA"/>
              </w:rPr>
              <w:t xml:space="preserve">is the measurement object specific offset of the neighbour cell (i.e. </w:t>
            </w:r>
            <w:r>
              <w:rPr>
                <w:rFonts w:ascii="Times New Roman" w:hAnsi="Times New Roman" w:eastAsia="Times New Roman" w:cs="Times New Roman"/>
                <w:i/>
                <w:highlight w:val="yellow"/>
                <w:lang w:val="en-GB" w:eastAsia="ja-JP" w:bidi="ar-SA"/>
              </w:rPr>
              <w:t>offsetMO</w:t>
            </w:r>
            <w:r>
              <w:rPr>
                <w:rFonts w:ascii="Times New Roman" w:hAnsi="Times New Roman" w:eastAsia="Times New Roman" w:cs="Times New Roman"/>
                <w:highlight w:val="yellow"/>
                <w:lang w:val="en-GB" w:eastAsia="ja-JP" w:bidi="ar-SA"/>
              </w:rPr>
              <w:t xml:space="preserve"> as defined within </w:t>
            </w:r>
            <w:r>
              <w:rPr>
                <w:rFonts w:ascii="Times New Roman" w:hAnsi="Times New Roman" w:eastAsia="Times New Roman" w:cs="Times New Roman"/>
                <w:i/>
                <w:highlight w:val="yellow"/>
                <w:lang w:val="en-GB" w:eastAsia="ja-JP" w:bidi="ar-SA"/>
              </w:rPr>
              <w:t>measObjectNR</w:t>
            </w:r>
            <w:r>
              <w:rPr>
                <w:rFonts w:ascii="Times New Roman" w:hAnsi="Times New Roman" w:eastAsia="Times New Roman" w:cs="Times New Roman"/>
                <w:highlight w:val="yellow"/>
                <w:lang w:val="en-GB" w:eastAsia="ja-JP" w:bidi="ar-SA"/>
              </w:rPr>
              <w:t xml:space="preserve"> corresponding to the neighbour cell).</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yellow"/>
                <w:lang w:val="en-GB" w:eastAsia="ja-JP" w:bidi="ar-SA"/>
              </w:rPr>
            </w:pPr>
            <w:r>
              <w:rPr>
                <w:rFonts w:ascii="Times New Roman" w:hAnsi="Times New Roman" w:eastAsia="Times New Roman" w:cs="Times New Roman"/>
                <w:b/>
                <w:i/>
                <w:highlight w:val="yellow"/>
                <w:lang w:val="en-GB" w:eastAsia="ja-JP" w:bidi="ar-SA"/>
              </w:rPr>
              <w:t xml:space="preserve">Ocn </w:t>
            </w:r>
            <w:r>
              <w:rPr>
                <w:rFonts w:ascii="Times New Roman" w:hAnsi="Times New Roman" w:eastAsia="Times New Roman" w:cs="Times New Roman"/>
                <w:highlight w:val="yellow"/>
                <w:lang w:val="en-GB" w:eastAsia="ja-JP" w:bidi="ar-SA"/>
              </w:rPr>
              <w:t xml:space="preserve">is the measurement object specific offset of the neighbour cell (i.e. </w:t>
            </w:r>
            <w:r>
              <w:rPr>
                <w:rFonts w:ascii="Times New Roman" w:hAnsi="Times New Roman" w:eastAsia="Times New Roman" w:cs="Times New Roman"/>
                <w:i/>
                <w:highlight w:val="yellow"/>
                <w:lang w:val="en-GB" w:eastAsia="ja-JP" w:bidi="ar-SA"/>
              </w:rPr>
              <w:t>cellIndividualOffset</w:t>
            </w:r>
            <w:r>
              <w:rPr>
                <w:rFonts w:ascii="Times New Roman" w:hAnsi="Times New Roman" w:eastAsia="Times New Roman" w:cs="Times New Roman"/>
                <w:highlight w:val="yellow"/>
                <w:lang w:val="en-GB" w:eastAsia="ja-JP" w:bidi="ar-SA"/>
              </w:rPr>
              <w:t xml:space="preserve"> as defined within </w:t>
            </w:r>
            <w:r>
              <w:rPr>
                <w:rFonts w:ascii="Times New Roman" w:hAnsi="Times New Roman" w:eastAsia="Times New Roman" w:cs="Times New Roman"/>
                <w:i/>
                <w:highlight w:val="yellow"/>
                <w:lang w:val="en-GB" w:eastAsia="ja-JP" w:bidi="ar-SA"/>
              </w:rPr>
              <w:t>measObjectNR</w:t>
            </w:r>
            <w:r>
              <w:rPr>
                <w:rFonts w:ascii="Times New Roman" w:hAnsi="Times New Roman" w:eastAsia="Times New Roman" w:cs="Times New Roman"/>
                <w:highlight w:val="yellow"/>
                <w:lang w:val="en-GB" w:eastAsia="ja-JP" w:bidi="ar-SA"/>
              </w:rPr>
              <w:t xml:space="preserve"> corresponding to the neighbour cell), and set to zero if not configured for the neighbour cell.</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yellow"/>
                <w:lang w:val="en-GB" w:eastAsia="ja-JP" w:bidi="ar-SA"/>
              </w:rPr>
            </w:pPr>
            <w:r>
              <w:rPr>
                <w:rFonts w:ascii="Times New Roman" w:hAnsi="Times New Roman" w:eastAsia="Times New Roman" w:cs="Times New Roman"/>
                <w:b/>
                <w:i/>
                <w:highlight w:val="yellow"/>
                <w:lang w:val="en-GB" w:eastAsia="ja-JP" w:bidi="ar-SA"/>
              </w:rPr>
              <w:t>Hys</w:t>
            </w:r>
            <w:r>
              <w:rPr>
                <w:rFonts w:ascii="Times New Roman" w:hAnsi="Times New Roman" w:eastAsia="Times New Roman" w:cs="Times New Roman"/>
                <w:highlight w:val="yellow"/>
                <w:lang w:val="en-GB" w:eastAsia="ja-JP" w:bidi="ar-SA"/>
              </w:rPr>
              <w:t xml:space="preserve"> is the hysteresis parameter for this event (i.e. </w:t>
            </w:r>
            <w:r>
              <w:rPr>
                <w:rFonts w:ascii="Times New Roman" w:hAnsi="Times New Roman" w:eastAsia="Times New Roman" w:cs="Times New Roman"/>
                <w:i/>
                <w:highlight w:val="yellow"/>
                <w:lang w:val="en-GB" w:eastAsia="ja-JP" w:bidi="ar-SA"/>
              </w:rPr>
              <w:t>hysteresis</w:t>
            </w:r>
            <w:r>
              <w:rPr>
                <w:rFonts w:ascii="Times New Roman" w:hAnsi="Times New Roman" w:eastAsia="Times New Roman" w:cs="Times New Roman"/>
                <w:highlight w:val="yellow"/>
                <w:lang w:val="en-GB" w:eastAsia="ja-JP" w:bidi="ar-SA"/>
              </w:rPr>
              <w:t xml:space="preserve"> as defined within</w:t>
            </w:r>
            <w:r>
              <w:rPr>
                <w:rFonts w:ascii="Times New Roman" w:hAnsi="Times New Roman" w:eastAsia="Times New Roman" w:cs="Times New Roman"/>
                <w:i/>
                <w:highlight w:val="yellow"/>
                <w:lang w:val="en-GB" w:eastAsia="ja-JP" w:bidi="ar-SA"/>
              </w:rPr>
              <w:t xml:space="preserve"> reportConfigNR </w:t>
            </w:r>
            <w:r>
              <w:rPr>
                <w:rFonts w:ascii="Times New Roman" w:hAnsi="Times New Roman" w:eastAsia="Times New Roman" w:cs="Times New Roman"/>
                <w:highlight w:val="yellow"/>
                <w:lang w:val="en-GB" w:eastAsia="ja-JP" w:bidi="ar-SA"/>
              </w:rPr>
              <w:t>for this event).</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yellow"/>
                <w:lang w:val="en-GB" w:eastAsia="ja-JP" w:bidi="ar-SA"/>
              </w:rPr>
            </w:pPr>
            <w:r>
              <w:rPr>
                <w:rFonts w:ascii="Times New Roman" w:hAnsi="Times New Roman" w:eastAsia="Times New Roman" w:cs="Times New Roman"/>
                <w:b/>
                <w:i/>
                <w:highlight w:val="yellow"/>
                <w:lang w:val="en-GB" w:eastAsia="ja-JP" w:bidi="ar-SA"/>
              </w:rPr>
              <w:t>Thresh</w:t>
            </w:r>
            <w:r>
              <w:rPr>
                <w:rFonts w:ascii="Times New Roman" w:hAnsi="Times New Roman" w:eastAsia="Times New Roman" w:cs="Times New Roman"/>
                <w:highlight w:val="yellow"/>
                <w:lang w:val="en-GB" w:eastAsia="ja-JP" w:bidi="ar-SA"/>
              </w:rPr>
              <w:t xml:space="preserve"> is the threshold parameter for this event (i.e. </w:t>
            </w:r>
            <w:r>
              <w:rPr>
                <w:rFonts w:ascii="Times New Roman" w:hAnsi="Times New Roman" w:eastAsia="Times New Roman" w:cs="Times New Roman"/>
                <w:i/>
                <w:highlight w:val="yellow"/>
                <w:lang w:val="en-GB" w:eastAsia="ja-JP" w:bidi="ar-SA"/>
              </w:rPr>
              <w:t xml:space="preserve">a4-Threshold </w:t>
            </w:r>
            <w:r>
              <w:rPr>
                <w:rFonts w:ascii="Times New Roman" w:hAnsi="Times New Roman" w:eastAsia="Times New Roman" w:cs="Times New Roman"/>
                <w:highlight w:val="yellow"/>
                <w:lang w:val="en-GB" w:eastAsia="ja-JP" w:bidi="ar-SA"/>
              </w:rPr>
              <w:t>as defined within</w:t>
            </w:r>
            <w:r>
              <w:rPr>
                <w:rFonts w:ascii="Times New Roman" w:hAnsi="Times New Roman" w:eastAsia="Times New Roman" w:cs="Times New Roman"/>
                <w:i/>
                <w:highlight w:val="yellow"/>
                <w:lang w:val="en-GB" w:eastAsia="ja-JP" w:bidi="ar-SA"/>
              </w:rPr>
              <w:t xml:space="preserve"> reportConfigNR </w:t>
            </w:r>
            <w:r>
              <w:rPr>
                <w:rFonts w:ascii="Times New Roman" w:hAnsi="Times New Roman" w:eastAsia="Times New Roman" w:cs="Times New Roman"/>
                <w:highlight w:val="yellow"/>
                <w:lang w:val="en-GB" w:eastAsia="ja-JP" w:bidi="ar-SA"/>
              </w:rPr>
              <w:t>for this event).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b/>
                <w:i/>
                <w:lang w:val="en-GB" w:eastAsia="ja-JP" w:bidi="ar-SA"/>
              </w:rPr>
              <w:t xml:space="preserve">Mn </w:t>
            </w:r>
            <w:r>
              <w:rPr>
                <w:rFonts w:ascii="Times New Roman" w:hAnsi="Times New Roman" w:eastAsia="Times New Roman" w:cs="Times New Roman"/>
                <w:lang w:val="en-GB" w:eastAsia="ja-JP" w:bidi="ar-SA"/>
              </w:rPr>
              <w:t>is expressed in dBm</w:t>
            </w:r>
            <w:r>
              <w:rPr>
                <w:rFonts w:ascii="Times New Roman" w:hAnsi="Times New Roman" w:eastAsia="Times New Roman" w:cs="Times New Roman"/>
                <w:lang w:val="en-GB" w:eastAsia="ko-KR" w:bidi="ar-SA"/>
              </w:rPr>
              <w:t xml:space="preserve"> in case of RSRP, or in dB in case of RSRQ</w:t>
            </w:r>
            <w:r>
              <w:rPr>
                <w:rFonts w:ascii="Times New Roman" w:hAnsi="Times New Roman" w:eastAsia="Times New Roman" w:cs="Times New Roman"/>
                <w:lang w:val="en-GB" w:eastAsia="ja-JP" w:bidi="ar-SA"/>
              </w:rPr>
              <w:t xml:space="preserve"> and RS-SINR.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b/>
                <w:i/>
                <w:lang w:val="en-GB" w:eastAsia="ja-JP" w:bidi="ar-SA"/>
              </w:rPr>
              <w:t xml:space="preserve">Ofn, Ocn, Hys </w:t>
            </w:r>
            <w:r>
              <w:rPr>
                <w:rFonts w:ascii="Times New Roman" w:hAnsi="Times New Roman" w:eastAsia="Times New Roman" w:cs="Times New Roman"/>
                <w:lang w:val="en-GB" w:eastAsia="ja-JP" w:bidi="ar-SA"/>
              </w:rPr>
              <w:t>are expressed in dB.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b/>
                <w:i/>
                <w:lang w:val="en-GB" w:eastAsia="ja-JP" w:bidi="ar-SA"/>
              </w:rPr>
              <w:t>Thres</w:t>
            </w:r>
            <w:r>
              <w:rPr>
                <w:rFonts w:ascii="Times New Roman" w:hAnsi="Times New Roman" w:eastAsia="Times New Roman" w:cs="Times New Roman"/>
                <w:b/>
                <w:i/>
                <w:lang w:val="en-GB" w:eastAsia="ko-KR" w:bidi="ar-SA"/>
              </w:rPr>
              <w:t xml:space="preserve">h </w:t>
            </w:r>
            <w:r>
              <w:rPr>
                <w:rFonts w:ascii="Times New Roman" w:hAnsi="Times New Roman" w:eastAsia="Times New Roman" w:cs="Times New Roman"/>
                <w:lang w:val="en-GB" w:eastAsia="ko-KR" w:bidi="ar-SA"/>
              </w:rPr>
              <w:t>is</w:t>
            </w:r>
            <w:r>
              <w:rPr>
                <w:rFonts w:ascii="Times New Roman" w:hAnsi="Times New Roman" w:eastAsia="Times New Roman" w:cs="Times New Roman"/>
                <w:lang w:val="en-GB" w:eastAsia="ja-JP" w:bidi="ar-SA"/>
              </w:rPr>
              <w:t xml:space="preserve"> expressed in the same unit as </w:t>
            </w:r>
            <w:r>
              <w:rPr>
                <w:rFonts w:ascii="Times New Roman" w:hAnsi="Times New Roman" w:eastAsia="Times New Roman" w:cs="Times New Roman"/>
                <w:b/>
                <w:i/>
                <w:lang w:val="en-GB" w:eastAsia="ja-JP" w:bidi="ar-SA"/>
              </w:rPr>
              <w:t>Mn</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hint="eastAsia"/>
                <w:vertAlign w:val="baseline"/>
              </w:rPr>
            </w:pPr>
            <w:r>
              <w:rPr>
                <w:rFonts w:ascii="Times New Roman" w:hAnsi="Times New Roman" w:eastAsia="Times New Roman" w:cs="Times New Roman"/>
                <w:highlight w:val="yellow"/>
                <w:lang w:val="en-GB" w:eastAsia="ko-KR" w:bidi="ar-SA"/>
              </w:rPr>
              <w:t>NOTE:</w:t>
            </w:r>
            <w:r>
              <w:rPr>
                <w:rFonts w:ascii="Times New Roman" w:hAnsi="Times New Roman" w:eastAsia="Times New Roman" w:cs="Times New Roman"/>
                <w:highlight w:val="yellow"/>
                <w:lang w:val="en-GB" w:eastAsia="ko-KR" w:bidi="ar-SA"/>
              </w:rPr>
              <w:tab/>
            </w:r>
            <w:r>
              <w:rPr>
                <w:rFonts w:ascii="Times New Roman" w:hAnsi="Times New Roman" w:eastAsia="Times New Roman" w:cs="Times New Roman"/>
                <w:highlight w:val="yellow"/>
                <w:lang w:val="en-GB" w:eastAsia="ko-KR" w:bidi="ar-SA"/>
              </w:rPr>
              <w:t>The definition of Event A4 also applies to CondEvent A4.</w:t>
            </w:r>
          </w:p>
        </w:tc>
      </w:tr>
    </w:tbl>
    <w:p>
      <w:pPr>
        <w:bidi w:val="0"/>
        <w:rPr>
          <w:rFonts w:hint="eastAsia" w:eastAsia="宋体"/>
          <w:lang w:val="en-US" w:eastAsia="zh-CN"/>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0"/>
            </w:pPr>
            <w:r>
              <w:rPr>
                <w:i/>
              </w:rPr>
              <w:t>ReportConfigNR</w:t>
            </w:r>
            <w:r>
              <w:t xml:space="preserve"> 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lang w:val="en-GB" w:eastAsia="en-GB"/>
              </w:rPr>
            </w:pPr>
            <w:r>
              <w:rPr>
                <w:rFonts w:ascii="Courier New" w:hAnsi="Courier New"/>
                <w:sz w:val="16"/>
                <w:szCs w:val="20"/>
                <w:lang w:val="en-GB" w:eastAsia="en-GB"/>
              </w:rPr>
              <w:t xml:space="preserve">CondTriggerConfig-r16 ::=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lang w:val="en-GB" w:eastAsia="en-GB"/>
              </w:rPr>
            </w:pPr>
            <w:r>
              <w:rPr>
                <w:rFonts w:ascii="Courier New" w:hAnsi="Courier New"/>
                <w:sz w:val="16"/>
                <w:szCs w:val="20"/>
                <w:lang w:val="en-GB" w:eastAsia="en-GB"/>
              </w:rPr>
              <w:t xml:space="preserve">    condEventId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lang w:val="en-GB" w:eastAsia="en-GB"/>
              </w:rPr>
            </w:pPr>
            <w:r>
              <w:rPr>
                <w:rFonts w:ascii="Courier New" w:hAnsi="Courier New"/>
                <w:sz w:val="16"/>
                <w:szCs w:val="20"/>
                <w:lang w:val="en-GB"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highlight w:val="yellow"/>
                <w:lang w:val="en-GB" w:eastAsia="en-GB"/>
              </w:rPr>
            </w:pPr>
            <w:r>
              <w:rPr>
                <w:rFonts w:ascii="Courier New" w:hAnsi="Courier New"/>
                <w:sz w:val="16"/>
                <w:szCs w:val="20"/>
                <w:lang w:val="en-GB" w:eastAsia="en-GB"/>
              </w:rPr>
              <w:t xml:space="preserve">        </w:t>
            </w:r>
            <w:r>
              <w:rPr>
                <w:rFonts w:ascii="Courier New" w:hAnsi="Courier New"/>
                <w:sz w:val="16"/>
                <w:szCs w:val="20"/>
                <w:highlight w:val="yellow"/>
                <w:lang w:val="en-GB" w:eastAsia="en-GB"/>
              </w:rPr>
              <w:t xml:space="preserve">condEventA4-r17                  </w:t>
            </w:r>
            <w:r>
              <w:rPr>
                <w:rFonts w:ascii="Courier New" w:hAnsi="Courier New"/>
                <w:color w:val="993366"/>
                <w:sz w:val="16"/>
                <w:szCs w:val="20"/>
                <w:highlight w:val="yellow"/>
                <w:lang w:val="en-GB" w:eastAsia="en-GB"/>
              </w:rPr>
              <w:t>SEQUENCE</w:t>
            </w:r>
            <w:r>
              <w:rPr>
                <w:rFonts w:ascii="Courier New" w:hAnsi="Courier New"/>
                <w:sz w:val="16"/>
                <w:szCs w:val="20"/>
                <w:highlight w:val="yellow"/>
                <w:lang w:val="en-GB"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highlight w:val="yellow"/>
                <w:lang w:val="en-GB" w:eastAsia="en-GB"/>
              </w:rPr>
            </w:pPr>
            <w:r>
              <w:rPr>
                <w:rFonts w:ascii="Courier New" w:hAnsi="Courier New"/>
                <w:sz w:val="16"/>
                <w:szCs w:val="20"/>
                <w:highlight w:val="yellow"/>
                <w:lang w:val="en-GB" w:eastAsia="en-GB"/>
              </w:rPr>
              <w:t xml:space="preserve">            a4-Threshold-r17                 MeasTriggerQuantity,</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highlight w:val="yellow"/>
                <w:lang w:val="en-GB" w:eastAsia="en-GB"/>
              </w:rPr>
            </w:pPr>
            <w:r>
              <w:rPr>
                <w:rFonts w:ascii="Courier New" w:hAnsi="Courier New"/>
                <w:sz w:val="16"/>
                <w:szCs w:val="20"/>
                <w:highlight w:val="yellow"/>
                <w:lang w:val="en-GB" w:eastAsia="en-GB"/>
              </w:rPr>
              <w:t xml:space="preserve">            hysteresis-r17                   Hysteresis,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highlight w:val="yellow"/>
                <w:lang w:val="en-GB" w:eastAsia="en-GB"/>
              </w:rPr>
            </w:pPr>
            <w:r>
              <w:rPr>
                <w:rFonts w:ascii="Courier New" w:hAnsi="Courier New"/>
                <w:sz w:val="16"/>
                <w:szCs w:val="20"/>
                <w:highlight w:val="yellow"/>
                <w:lang w:val="en-GB" w:eastAsia="en-GB"/>
              </w:rPr>
              <w:t xml:space="preserve">            timeToTrigger-r17                TimeToTrigger</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jc w:val="both"/>
              <w:textAlignment w:val="baseline"/>
              <w:rPr>
                <w:rFonts w:ascii="Courier New" w:hAnsi="Courier New"/>
                <w:sz w:val="16"/>
                <w:szCs w:val="20"/>
                <w:lang w:val="en-GB" w:eastAsia="en-GB"/>
              </w:rPr>
            </w:pPr>
            <w:r>
              <w:rPr>
                <w:rFonts w:ascii="Courier New" w:hAnsi="Courier New"/>
                <w:sz w:val="16"/>
                <w:szCs w:val="20"/>
                <w:highlight w:val="yellow"/>
                <w:lang w:val="en-GB" w:eastAsia="en-GB"/>
              </w:rPr>
              <w:t xml:space="preserve">        }</w:t>
            </w:r>
            <w:r>
              <w:rPr>
                <w:rFonts w:ascii="Courier New" w:hAnsi="Courier New"/>
                <w:sz w:val="16"/>
                <w:szCs w:val="20"/>
                <w:lang w:val="en-GB" w:eastAsia="en-GB"/>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ind w:firstLine="320"/>
              <w:jc w:val="both"/>
              <w:textAlignment w:val="baseline"/>
              <w:rPr>
                <w:rFonts w:ascii="Courier New" w:hAnsi="Courier New"/>
                <w:sz w:val="16"/>
                <w:szCs w:val="20"/>
                <w:lang w:val="en-GB" w:eastAsia="en-GB"/>
              </w:rPr>
            </w:pPr>
            <w:r>
              <w:rPr>
                <w:rFonts w:ascii="Courier New" w:hAnsi="Courier New"/>
                <w:sz w:val="16"/>
                <w:szCs w:val="20"/>
                <w:lang w:val="en-GB" w:eastAsia="en-GB"/>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textAlignment w:val="baseline"/>
              <w:rPr>
                <w:rFonts w:ascii="Courier New" w:hAnsi="Courier New" w:eastAsia="Times New Roman"/>
                <w:sz w:val="16"/>
                <w:highlight w:val="yellow"/>
                <w:lang w:eastAsia="en-GB"/>
              </w:rPr>
            </w:pPr>
            <w:r>
              <w:rPr>
                <w:rFonts w:ascii="Courier New" w:hAnsi="Courier New" w:eastAsia="Times New Roman"/>
                <w:sz w:val="16"/>
                <w:highlight w:val="yellow"/>
                <w:lang w:eastAsia="en-GB"/>
              </w:rPr>
              <w:t xml:space="preserve">    rsType-r16                       NR-RS-Type,</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textAlignment w:val="baseline"/>
              <w:rPr>
                <w:rFonts w:hint="eastAsia" w:eastAsia="宋体"/>
                <w:vertAlign w:val="baseline"/>
                <w:lang w:val="en-US" w:eastAsia="zh-CN"/>
              </w:rPr>
            </w:pPr>
            <w:r>
              <w:rPr>
                <w:rFonts w:hint="eastAsia" w:ascii="Courier New" w:hAnsi="Courier New" w:eastAsia="宋体"/>
                <w:sz w:val="16"/>
                <w:szCs w:val="20"/>
                <w:lang w:val="en-US" w:eastAsia="zh-CN"/>
              </w:rPr>
              <w:t>}</w:t>
            </w:r>
          </w:p>
        </w:tc>
      </w:tr>
    </w:tbl>
    <w:p>
      <w:pPr>
        <w:bidi w:val="0"/>
        <w:rPr>
          <w:rFonts w:hint="eastAsia" w:eastAsia="宋体"/>
          <w:lang w:val="en-US" w:eastAsia="zh-CN"/>
        </w:rPr>
      </w:pPr>
      <w:r>
        <w:rPr>
          <w:rFonts w:hint="eastAsia" w:eastAsia="宋体"/>
          <w:lang w:val="en-US" w:eastAsia="zh-CN"/>
        </w:rPr>
        <w:t xml:space="preserve">It can be found that there are several parameters (e.g. offsetMO, cellIndividualOffset, hysteresis, a4-Threshold, timeToTrigger, rsType) related to the condition formula and configuration for CondEvent A4. </w:t>
      </w:r>
    </w:p>
    <w:p>
      <w:pPr>
        <w:pStyle w:val="19"/>
        <w:bidi w:val="0"/>
        <w:rPr>
          <w:rFonts w:hint="default"/>
          <w:lang w:val="en-US" w:eastAsia="zh-CN"/>
        </w:rPr>
      </w:pPr>
      <w:r>
        <w:rPr>
          <w:rFonts w:hint="eastAsia"/>
          <w:lang w:val="en-US" w:eastAsia="zh-CN"/>
        </w:rPr>
        <w:t>In the current RRC spec, there are several parameters (e.g. offsetMO, cellIndividualOffset, hysteresis, a4-Threshold, timeToTrigger, rsType) related to the condition formula and configuration for CondEvent A4.</w:t>
      </w:r>
    </w:p>
    <w:p>
      <w:pPr>
        <w:bidi w:val="0"/>
        <w:rPr>
          <w:rFonts w:hint="default" w:eastAsia="宋体"/>
          <w:lang w:val="en-US" w:eastAsia="zh-CN"/>
        </w:rPr>
      </w:pPr>
      <w:r>
        <w:rPr>
          <w:rFonts w:hint="eastAsia" w:eastAsia="宋体"/>
          <w:lang w:val="en-US" w:eastAsia="zh-CN"/>
        </w:rPr>
        <w:t>Thus, in order to provide the sufficient information to the source MN for the execution condition generation, the candidate MN can provide all the parameters related to the CondEvent A4 to the source MN. Among these parameters, we think the a4-Threshold should be provided mandatorialy, while other parameters can be provided optionally.</w:t>
      </w:r>
    </w:p>
    <w:p>
      <w:pPr>
        <w:pStyle w:val="20"/>
        <w:bidi w:val="0"/>
        <w:rPr>
          <w:rFonts w:hint="eastAsia"/>
        </w:rPr>
      </w:pPr>
      <w:r>
        <w:rPr>
          <w:rFonts w:hint="eastAsia"/>
          <w:lang w:val="en-US" w:eastAsia="zh-CN"/>
        </w:rPr>
        <w:t>The candidate MN can provide all related parameters for CondEvent A4 to the source MN for the execution conditions of candidate PSCells, including:</w:t>
      </w:r>
    </w:p>
    <w:p>
      <w:pPr>
        <w:pStyle w:val="21"/>
        <w:bidi w:val="0"/>
        <w:rPr>
          <w:rFonts w:hint="eastAsia"/>
          <w:lang w:val="en-US" w:eastAsia="zh-CN"/>
        </w:rPr>
      </w:pPr>
      <w:r>
        <w:rPr>
          <w:rFonts w:hint="eastAsia"/>
          <w:lang w:val="en-US" w:eastAsia="zh-CN"/>
        </w:rPr>
        <w:t xml:space="preserve">a4-Threshold (mandatory) </w:t>
      </w:r>
    </w:p>
    <w:p>
      <w:pPr>
        <w:pStyle w:val="21"/>
        <w:bidi w:val="0"/>
        <w:rPr>
          <w:rFonts w:hint="eastAsia"/>
          <w:lang w:val="en-US" w:eastAsia="zh-CN"/>
        </w:rPr>
      </w:pPr>
      <w:r>
        <w:rPr>
          <w:rFonts w:hint="eastAsia"/>
          <w:lang w:val="en-US" w:eastAsia="zh-CN"/>
        </w:rPr>
        <w:t>offsetMO</w:t>
      </w:r>
    </w:p>
    <w:p>
      <w:pPr>
        <w:pStyle w:val="21"/>
        <w:bidi w:val="0"/>
        <w:rPr>
          <w:rFonts w:hint="eastAsia"/>
          <w:lang w:val="en-US" w:eastAsia="zh-CN"/>
        </w:rPr>
      </w:pPr>
      <w:r>
        <w:rPr>
          <w:rFonts w:hint="eastAsia"/>
          <w:lang w:val="en-US" w:eastAsia="zh-CN"/>
        </w:rPr>
        <w:t>cellIndividualOffset</w:t>
      </w:r>
    </w:p>
    <w:p>
      <w:pPr>
        <w:pStyle w:val="21"/>
        <w:bidi w:val="0"/>
        <w:rPr>
          <w:rFonts w:hint="eastAsia"/>
          <w:lang w:val="en-US" w:eastAsia="zh-CN"/>
        </w:rPr>
      </w:pPr>
      <w:r>
        <w:rPr>
          <w:rFonts w:hint="eastAsia"/>
          <w:lang w:val="en-US" w:eastAsia="zh-CN"/>
        </w:rPr>
        <w:t>hysteresis</w:t>
      </w:r>
    </w:p>
    <w:p>
      <w:pPr>
        <w:pStyle w:val="21"/>
        <w:bidi w:val="0"/>
        <w:rPr>
          <w:rFonts w:hint="eastAsia"/>
          <w:lang w:val="en-US" w:eastAsia="zh-CN"/>
        </w:rPr>
      </w:pPr>
      <w:r>
        <w:rPr>
          <w:rFonts w:hint="eastAsia"/>
          <w:lang w:val="en-US" w:eastAsia="zh-CN"/>
        </w:rPr>
        <w:t>timeToTrigger</w:t>
      </w:r>
    </w:p>
    <w:p>
      <w:pPr>
        <w:pStyle w:val="21"/>
        <w:bidi w:val="0"/>
        <w:rPr>
          <w:rFonts w:hint="eastAsia"/>
          <w:lang w:val="en-US" w:eastAsia="zh-CN"/>
        </w:rPr>
      </w:pPr>
      <w:r>
        <w:rPr>
          <w:rFonts w:hint="eastAsia"/>
          <w:lang w:val="en-US" w:eastAsia="zh-CN"/>
        </w:rPr>
        <w:t>rsType</w:t>
      </w:r>
    </w:p>
    <w:p>
      <w:pPr>
        <w:pStyle w:val="3"/>
        <w:bidi w:val="0"/>
        <w:rPr>
          <w:rFonts w:hint="default"/>
          <w:lang w:val="en-US" w:eastAsia="zh-CN"/>
        </w:rPr>
      </w:pPr>
      <w:r>
        <w:rPr>
          <w:rFonts w:hint="eastAsia"/>
          <w:lang w:val="en-US" w:eastAsia="zh-CN"/>
        </w:rPr>
        <w:t>Preparation procedure</w:t>
      </w:r>
    </w:p>
    <w:p>
      <w:pPr>
        <w:bidi w:val="0"/>
        <w:rPr>
          <w:rFonts w:hint="eastAsia" w:cs="Times New Roman"/>
          <w:b w:val="0"/>
          <w:bCs w:val="0"/>
          <w:sz w:val="20"/>
          <w:szCs w:val="20"/>
          <w:lang w:val="en-US" w:eastAsia="zh-CN"/>
        </w:rPr>
      </w:pPr>
      <w:r>
        <w:rPr>
          <w:rFonts w:hint="eastAsia" w:cs="Times New Roman"/>
          <w:b w:val="0"/>
          <w:bCs w:val="0"/>
          <w:sz w:val="20"/>
          <w:szCs w:val="20"/>
          <w:lang w:val="en-US" w:eastAsia="zh-CN"/>
        </w:rPr>
        <w:t>At last meeting, RAN2 assumed that the source MN initiates the preparation of the R18 CHO with candidate SCG(s), e.g., S-MN tells the T-MN whether it is allowed to configure candidate SCG(s). But the signalling details are left to FFS. In our understanding, how to inform the T-MN whether it is allowed to configure candidate SCG(s) should be discussed at RAN3. Besides, RAN3 has agreed to indicate the maximum number of Conditional reconfigurations to prepare within the Handover Request message from S-MN to T-MN. It can be implicitly indicated whether the candidate SCG(s) is allowed or not considering that the indicator will only be used in case of CHO with candidate SCG(s). Anyway, it can be up to RAN3 decision to design the signalling detail.</w:t>
      </w:r>
    </w:p>
    <w:p>
      <w:pPr>
        <w:pStyle w:val="20"/>
        <w:bidi w:val="0"/>
        <w:rPr>
          <w:rFonts w:hint="default"/>
          <w:lang w:val="en-US" w:eastAsia="zh-CN"/>
        </w:rPr>
      </w:pPr>
      <w:r>
        <w:rPr>
          <w:rFonts w:hint="eastAsia"/>
          <w:lang w:val="en-US" w:eastAsia="zh-CN"/>
        </w:rPr>
        <w:t>It is up to RAN3 decision to design the signalling details on informing the T-MN whether it is allowed to configure candidate SCG(s).</w:t>
      </w:r>
    </w:p>
    <w:p>
      <w:pPr>
        <w:bidi w:val="0"/>
        <w:rPr>
          <w:rFonts w:hint="default" w:cs="Times New Roman"/>
          <w:b w:val="0"/>
          <w:bCs w:val="0"/>
          <w:sz w:val="20"/>
          <w:szCs w:val="20"/>
          <w:lang w:val="en-US" w:eastAsia="zh-CN"/>
        </w:rPr>
      </w:pP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spacing w:before="120" w:after="120"/>
        <w:rPr>
          <w:rFonts w:hint="default" w:eastAsia="宋体"/>
          <w:lang w:val="en-US" w:eastAsia="zh-CN"/>
        </w:rPr>
      </w:pPr>
      <w:r>
        <w:rPr>
          <w:rFonts w:hint="eastAsia" w:eastAsia="宋体"/>
          <w:lang w:val="en-US" w:eastAsia="zh-CN"/>
        </w:rPr>
        <w:t>In this contribution, we discussed remaining issues on CHO with candidate SCG(s) with the following observations and proposals:</w:t>
      </w:r>
    </w:p>
    <w:p>
      <w:pPr>
        <w:pStyle w:val="10"/>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For CHO with candidate SCG(s), it</w:t>
      </w:r>
      <w:r>
        <w:rPr>
          <w:rFonts w:hint="default"/>
          <w:lang w:val="en-US" w:eastAsia="zh-CN"/>
        </w:rPr>
        <w:t>’</w:t>
      </w:r>
      <w:r>
        <w:rPr>
          <w:rFonts w:hint="eastAsia"/>
          <w:lang w:val="en-US" w:eastAsia="zh-CN"/>
        </w:rPr>
        <w:t>s assumed that the NW can also provide the complementary Rel-16/Rel-17 CHO configuration for the same candidate PCell, to ensure the CHO can be executed in time when the CHO execution condition is met.</w:t>
      </w:r>
    </w:p>
    <w:p>
      <w:pPr>
        <w:pStyle w:val="10"/>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In the current RRC spec, there are several parameters (e.g. offsetMO, cellIndividualOffset, hysteresis, a4-Threshold, timeToTrigger, rsType) related to the condition formula and configuration for CondEvent A4.</w:t>
      </w:r>
    </w:p>
    <w:p>
      <w:pPr>
        <w:spacing w:before="120" w:after="120"/>
      </w:pPr>
      <w:r>
        <w:fldChar w:fldCharType="end"/>
      </w:r>
    </w:p>
    <w:p>
      <w:pPr>
        <w:pStyle w:val="10"/>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RAN2 confirms the maximum number of conditional reconfigurations is 8, i.e. no need to extend the value of maxNrofCondCells.</w:t>
      </w:r>
    </w:p>
    <w:p>
      <w:pPr>
        <w:pStyle w:val="10"/>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In CHO based recovery, the UE prioritizes to apply the legacy CHO configuration (i.e. without the associated execution condition for candidate PSCell) for the selected candidate PCell if there are multiple conditional reconfigurations associated with the same candidate PCell.</w:t>
      </w:r>
    </w:p>
    <w:p>
      <w:pPr>
        <w:pStyle w:val="10"/>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If both the execution conditions for CHO with candidate SCG(s) are met and the execution condition(s) for the legacy CHO configuration for the same candidate PCell is met, the UE prioritizes to execute the CHO with candidate SCG(s).</w:t>
      </w:r>
    </w:p>
    <w:p>
      <w:pPr>
        <w:pStyle w:val="10"/>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rPr>
        <w:t xml:space="preserve">Proposal 4: </w:t>
      </w:r>
      <w:r>
        <w:rPr>
          <w:rFonts w:hint="eastAsia"/>
          <w:i w:val="0"/>
          <w:iCs w:val="0"/>
          <w:lang w:val="en-US" w:eastAsia="zh-CN"/>
        </w:rPr>
        <w:t>If the CPA or CPC was not configured, the UE shall not remove the CHO with candidate SCG(s) configuration upon PSCell addition/change, i.e. no change to the current spec is expected.</w:t>
      </w:r>
    </w:p>
    <w:p>
      <w:pPr>
        <w:pStyle w:val="10"/>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rPr>
        <w:t xml:space="preserve">Proposal 5: </w:t>
      </w:r>
      <w:r>
        <w:rPr>
          <w:rFonts w:hint="eastAsia"/>
          <w:i w:val="0"/>
          <w:iCs w:val="0"/>
          <w:lang w:val="en-US" w:eastAsia="zh-CN"/>
        </w:rPr>
        <w:t>The candidate MN can provide all related parameters for CondEvent A4 to the source MN for the execution conditions of candidate PSCells, including:</w:t>
      </w:r>
    </w:p>
    <w:p>
      <w:pPr>
        <w:pStyle w:val="12"/>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a4-Threshold (mandatory)</w:t>
      </w:r>
    </w:p>
    <w:p>
      <w:pPr>
        <w:pStyle w:val="12"/>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offsetMO</w:t>
      </w:r>
    </w:p>
    <w:p>
      <w:pPr>
        <w:pStyle w:val="12"/>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cellIndividualOffset</w:t>
      </w:r>
    </w:p>
    <w:p>
      <w:pPr>
        <w:pStyle w:val="12"/>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hysteresis</w:t>
      </w:r>
    </w:p>
    <w:p>
      <w:pPr>
        <w:pStyle w:val="12"/>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timeToTrigger</w:t>
      </w:r>
    </w:p>
    <w:p>
      <w:pPr>
        <w:pStyle w:val="12"/>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rsType</w:t>
      </w:r>
    </w:p>
    <w:p>
      <w:pPr>
        <w:pStyle w:val="10"/>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It is up to RAN3 decision to design the signalling details on informing the T-MN whether it is allowed to configure candidate SCG(s).</w:t>
      </w:r>
    </w:p>
    <w:p>
      <w:pPr>
        <w:spacing w:before="120" w:after="120"/>
      </w:pPr>
      <w:r>
        <w:rPr>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5"/>
        <w:spacing w:before="120" w:after="120"/>
        <w:ind w:left="363" w:hanging="363"/>
        <w:rPr>
          <w:szCs w:val="20"/>
        </w:rPr>
      </w:pPr>
      <w:bookmarkStart w:id="3" w:name="_Ref31645"/>
      <w:bookmarkStart w:id="4" w:name="_Ref17466"/>
      <w:r>
        <w:rPr>
          <w:rFonts w:hint="eastAsia" w:eastAsia="宋体"/>
          <w:szCs w:val="20"/>
          <w:lang w:val="en-US" w:eastAsia="zh-CN"/>
        </w:rPr>
        <w:t>R</w:t>
      </w:r>
      <w:bookmarkEnd w:id="3"/>
      <w:r>
        <w:rPr>
          <w:rFonts w:hint="eastAsia" w:eastAsia="宋体"/>
          <w:szCs w:val="20"/>
          <w:lang w:val="en-US" w:eastAsia="zh-CN"/>
        </w:rPr>
        <w:t>AN2#123 Chair notes</w:t>
      </w:r>
      <w:bookmarkEnd w:id="4"/>
    </w:p>
    <w:p>
      <w:pPr>
        <w:pStyle w:val="25"/>
        <w:spacing w:before="120" w:after="120"/>
        <w:ind w:left="363" w:hanging="363"/>
        <w:rPr>
          <w:szCs w:val="20"/>
        </w:rPr>
      </w:pPr>
      <w:r>
        <w:rPr>
          <w:rFonts w:hint="eastAsia" w:eastAsia="宋体"/>
          <w:szCs w:val="20"/>
          <w:lang w:val="en-US" w:eastAsia="zh-CN"/>
        </w:rPr>
        <w:t>TS 38.331 v17.5.0</w:t>
      </w:r>
      <w:bookmarkStart w:id="5" w:name="_GoBack"/>
      <w:bookmarkEnd w:id="5"/>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3"/>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25"/>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4"/>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19"/>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0146DC0"/>
    <w:multiLevelType w:val="multilevel"/>
    <w:tmpl w:val="70146DC0"/>
    <w:lvl w:ilvl="0" w:tentative="0">
      <w:start w:val="1"/>
      <w:numFmt w:val="bullet"/>
      <w:pStyle w:val="48"/>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C436CD"/>
    <w:multiLevelType w:val="singleLevel"/>
    <w:tmpl w:val="7DC436CD"/>
    <w:lvl w:ilvl="0" w:tentative="0">
      <w:start w:val="1"/>
      <w:numFmt w:val="bullet"/>
      <w:pStyle w:val="21"/>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3168B5"/>
    <w:rsid w:val="052B24AB"/>
    <w:rsid w:val="0555228E"/>
    <w:rsid w:val="059D1E39"/>
    <w:rsid w:val="05BA07B9"/>
    <w:rsid w:val="05E078B3"/>
    <w:rsid w:val="077D0583"/>
    <w:rsid w:val="079724D0"/>
    <w:rsid w:val="082A352F"/>
    <w:rsid w:val="08C349D1"/>
    <w:rsid w:val="08FD1F99"/>
    <w:rsid w:val="09F67CD5"/>
    <w:rsid w:val="0AC167FE"/>
    <w:rsid w:val="0B584155"/>
    <w:rsid w:val="0B9E71DF"/>
    <w:rsid w:val="0C9D30C2"/>
    <w:rsid w:val="0D9D65F4"/>
    <w:rsid w:val="0E172BD0"/>
    <w:rsid w:val="0E350BFE"/>
    <w:rsid w:val="0EDF02B5"/>
    <w:rsid w:val="10936355"/>
    <w:rsid w:val="10A50104"/>
    <w:rsid w:val="115B3410"/>
    <w:rsid w:val="119D7849"/>
    <w:rsid w:val="1242135C"/>
    <w:rsid w:val="128B7441"/>
    <w:rsid w:val="13A1683F"/>
    <w:rsid w:val="14960C8D"/>
    <w:rsid w:val="14DA3DA1"/>
    <w:rsid w:val="17155857"/>
    <w:rsid w:val="17950508"/>
    <w:rsid w:val="17AD7BB9"/>
    <w:rsid w:val="18DE0890"/>
    <w:rsid w:val="19010C43"/>
    <w:rsid w:val="19084C73"/>
    <w:rsid w:val="1A054259"/>
    <w:rsid w:val="1A273CC1"/>
    <w:rsid w:val="1AA20BEC"/>
    <w:rsid w:val="1B7F6005"/>
    <w:rsid w:val="1B9D73EE"/>
    <w:rsid w:val="1C132CB9"/>
    <w:rsid w:val="1CCC26CA"/>
    <w:rsid w:val="1E056606"/>
    <w:rsid w:val="1E9D6342"/>
    <w:rsid w:val="1F355C9E"/>
    <w:rsid w:val="204E6676"/>
    <w:rsid w:val="2195668B"/>
    <w:rsid w:val="21BE5AD4"/>
    <w:rsid w:val="23081A49"/>
    <w:rsid w:val="2334383D"/>
    <w:rsid w:val="23CE335E"/>
    <w:rsid w:val="245B10E6"/>
    <w:rsid w:val="245C52F8"/>
    <w:rsid w:val="2463385E"/>
    <w:rsid w:val="24B36E39"/>
    <w:rsid w:val="250D568B"/>
    <w:rsid w:val="25134332"/>
    <w:rsid w:val="255D39AC"/>
    <w:rsid w:val="257E508F"/>
    <w:rsid w:val="2620585F"/>
    <w:rsid w:val="26BF5712"/>
    <w:rsid w:val="27401EA7"/>
    <w:rsid w:val="27AB7429"/>
    <w:rsid w:val="285C053E"/>
    <w:rsid w:val="286534F7"/>
    <w:rsid w:val="29FA7F26"/>
    <w:rsid w:val="2A0F29F0"/>
    <w:rsid w:val="2B774832"/>
    <w:rsid w:val="2C2A5573"/>
    <w:rsid w:val="2C3E7B79"/>
    <w:rsid w:val="2C946521"/>
    <w:rsid w:val="2CDE11E4"/>
    <w:rsid w:val="2DFF52B5"/>
    <w:rsid w:val="2F1251F2"/>
    <w:rsid w:val="30962F3E"/>
    <w:rsid w:val="30D17E68"/>
    <w:rsid w:val="30FF2795"/>
    <w:rsid w:val="320C4F70"/>
    <w:rsid w:val="329A6ACE"/>
    <w:rsid w:val="33607071"/>
    <w:rsid w:val="34B40374"/>
    <w:rsid w:val="35EB3B29"/>
    <w:rsid w:val="360B1D73"/>
    <w:rsid w:val="361F3323"/>
    <w:rsid w:val="36E93760"/>
    <w:rsid w:val="377E620D"/>
    <w:rsid w:val="3784394E"/>
    <w:rsid w:val="38773867"/>
    <w:rsid w:val="38AE3BB0"/>
    <w:rsid w:val="3A5B7A6E"/>
    <w:rsid w:val="3AC71DA2"/>
    <w:rsid w:val="3ACB5746"/>
    <w:rsid w:val="3B6B1A60"/>
    <w:rsid w:val="3BB20883"/>
    <w:rsid w:val="3C935077"/>
    <w:rsid w:val="3CCC3EC3"/>
    <w:rsid w:val="3CD06756"/>
    <w:rsid w:val="3DA8275C"/>
    <w:rsid w:val="3E441C7D"/>
    <w:rsid w:val="3E477FF4"/>
    <w:rsid w:val="3E4F2A18"/>
    <w:rsid w:val="3F4E77F0"/>
    <w:rsid w:val="3FC956FF"/>
    <w:rsid w:val="40A36A71"/>
    <w:rsid w:val="410E4736"/>
    <w:rsid w:val="41D3631F"/>
    <w:rsid w:val="41F466FD"/>
    <w:rsid w:val="42437EFC"/>
    <w:rsid w:val="42A67A24"/>
    <w:rsid w:val="42D846B9"/>
    <w:rsid w:val="430D7A82"/>
    <w:rsid w:val="432F1BB7"/>
    <w:rsid w:val="43760C95"/>
    <w:rsid w:val="43A55B32"/>
    <w:rsid w:val="440D5045"/>
    <w:rsid w:val="44F3408E"/>
    <w:rsid w:val="45BE6191"/>
    <w:rsid w:val="46065741"/>
    <w:rsid w:val="460C5979"/>
    <w:rsid w:val="46127194"/>
    <w:rsid w:val="47C01792"/>
    <w:rsid w:val="4808150F"/>
    <w:rsid w:val="49E9233D"/>
    <w:rsid w:val="4A42266B"/>
    <w:rsid w:val="4A775778"/>
    <w:rsid w:val="4AA46DCC"/>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6C4FB6"/>
    <w:rsid w:val="539A390F"/>
    <w:rsid w:val="53CF14EE"/>
    <w:rsid w:val="53DB3477"/>
    <w:rsid w:val="54AF6B42"/>
    <w:rsid w:val="55DD6F2A"/>
    <w:rsid w:val="55DF756C"/>
    <w:rsid w:val="56E23970"/>
    <w:rsid w:val="57155486"/>
    <w:rsid w:val="577A3C7D"/>
    <w:rsid w:val="578F220A"/>
    <w:rsid w:val="57FC07D9"/>
    <w:rsid w:val="58500F22"/>
    <w:rsid w:val="591C0009"/>
    <w:rsid w:val="59293DB9"/>
    <w:rsid w:val="5ACF0F3A"/>
    <w:rsid w:val="5B376129"/>
    <w:rsid w:val="5C6B1600"/>
    <w:rsid w:val="5C921AD0"/>
    <w:rsid w:val="5DFD51DB"/>
    <w:rsid w:val="5E0D36E5"/>
    <w:rsid w:val="5E407679"/>
    <w:rsid w:val="5E7F7360"/>
    <w:rsid w:val="5E832D5F"/>
    <w:rsid w:val="5EB903DA"/>
    <w:rsid w:val="5ED456A8"/>
    <w:rsid w:val="5F6A1DBA"/>
    <w:rsid w:val="5FAE004A"/>
    <w:rsid w:val="5FF53D41"/>
    <w:rsid w:val="60140907"/>
    <w:rsid w:val="607C3753"/>
    <w:rsid w:val="60C30855"/>
    <w:rsid w:val="60EC3BF7"/>
    <w:rsid w:val="61421EFD"/>
    <w:rsid w:val="615C5041"/>
    <w:rsid w:val="644E12C7"/>
    <w:rsid w:val="64934878"/>
    <w:rsid w:val="65064EE2"/>
    <w:rsid w:val="664805B8"/>
    <w:rsid w:val="688564FF"/>
    <w:rsid w:val="68CB171E"/>
    <w:rsid w:val="690F418B"/>
    <w:rsid w:val="69FB7936"/>
    <w:rsid w:val="6A017B3A"/>
    <w:rsid w:val="6A154B1E"/>
    <w:rsid w:val="6A7A2736"/>
    <w:rsid w:val="6A7B4B9C"/>
    <w:rsid w:val="6B2D7A6A"/>
    <w:rsid w:val="6C89456C"/>
    <w:rsid w:val="6D663271"/>
    <w:rsid w:val="6EAA6458"/>
    <w:rsid w:val="6F901B66"/>
    <w:rsid w:val="6FA629D4"/>
    <w:rsid w:val="6FC05247"/>
    <w:rsid w:val="6FD10552"/>
    <w:rsid w:val="70BB2EF0"/>
    <w:rsid w:val="70FE10FE"/>
    <w:rsid w:val="72EF5E88"/>
    <w:rsid w:val="73414765"/>
    <w:rsid w:val="73455C21"/>
    <w:rsid w:val="73D425F7"/>
    <w:rsid w:val="750A2023"/>
    <w:rsid w:val="758F1863"/>
    <w:rsid w:val="7676736A"/>
    <w:rsid w:val="76933951"/>
    <w:rsid w:val="76FA3873"/>
    <w:rsid w:val="771D661B"/>
    <w:rsid w:val="771F7714"/>
    <w:rsid w:val="77317864"/>
    <w:rsid w:val="777E145F"/>
    <w:rsid w:val="78782A0D"/>
    <w:rsid w:val="79A2171F"/>
    <w:rsid w:val="79A252FF"/>
    <w:rsid w:val="79D33056"/>
    <w:rsid w:val="7ADE0D63"/>
    <w:rsid w:val="7B8873B1"/>
    <w:rsid w:val="7C26369C"/>
    <w:rsid w:val="7C9E5A24"/>
    <w:rsid w:val="7CAC00CB"/>
    <w:rsid w:val="7D575412"/>
    <w:rsid w:val="7D62117D"/>
    <w:rsid w:val="7DB275A7"/>
    <w:rsid w:val="7DB54254"/>
    <w:rsid w:val="7DDA5FF5"/>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widowControl/>
      <w:spacing w:before="40" w:after="120"/>
      <w:jc w:val="left"/>
    </w:pPr>
    <w:rPr>
      <w:rFonts w:ascii="Arial" w:hAnsi="Arial" w:eastAsia="MS Mincho"/>
      <w:kern w:val="0"/>
      <w:sz w:val="20"/>
      <w:lang w:val="en-GB" w:eastAsia="en-GB"/>
    </w:rPr>
  </w:style>
  <w:style w:type="paragraph" w:styleId="7">
    <w:name w:val="toc 3"/>
    <w:basedOn w:val="1"/>
    <w:next w:val="1"/>
    <w:link w:val="36"/>
    <w:unhideWhenUsed/>
    <w:qFormat/>
    <w:uiPriority w:val="39"/>
    <w:pPr>
      <w:ind w:left="880" w:leftChars="400"/>
    </w:pPr>
    <w:rPr>
      <w:b/>
      <w:i/>
    </w:rPr>
  </w:style>
  <w:style w:type="paragraph" w:styleId="8">
    <w:name w:val="footer"/>
    <w:link w:val="43"/>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9">
    <w:name w:val="header"/>
    <w:basedOn w:val="1"/>
    <w:link w:val="27"/>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0">
    <w:name w:val="toc 1"/>
    <w:basedOn w:val="1"/>
    <w:next w:val="1"/>
    <w:link w:val="30"/>
    <w:unhideWhenUsed/>
    <w:qFormat/>
    <w:uiPriority w:val="39"/>
    <w:rPr>
      <w:b/>
      <w:i/>
    </w:rPr>
  </w:style>
  <w:style w:type="paragraph" w:styleId="11">
    <w:name w:val="table of figures"/>
    <w:basedOn w:val="1"/>
    <w:next w:val="1"/>
    <w:semiHidden/>
    <w:unhideWhenUsed/>
    <w:qFormat/>
    <w:uiPriority w:val="99"/>
    <w:pPr>
      <w:ind w:left="200" w:leftChars="200" w:hanging="200" w:hangingChars="200"/>
    </w:pPr>
  </w:style>
  <w:style w:type="paragraph" w:styleId="12">
    <w:name w:val="toc 2"/>
    <w:basedOn w:val="1"/>
    <w:next w:val="1"/>
    <w:link w:val="33"/>
    <w:unhideWhenUsed/>
    <w:qFormat/>
    <w:uiPriority w:val="39"/>
    <w:pPr>
      <w:snapToGrid w:val="0"/>
      <w:ind w:left="618" w:leftChars="200"/>
    </w:pPr>
    <w:rPr>
      <w:b/>
      <w:i/>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Doc-title"/>
    <w:basedOn w:val="1"/>
    <w:next w:val="17"/>
    <w:qFormat/>
    <w:uiPriority w:val="0"/>
    <w:pPr>
      <w:widowControl/>
      <w:ind w:left="1260" w:hanging="1260"/>
      <w:jc w:val="left"/>
    </w:pPr>
    <w:rPr>
      <w:rFonts w:ascii="Arial" w:hAnsi="Arial" w:eastAsia="MS Mincho"/>
      <w:kern w:val="0"/>
      <w:sz w:val="20"/>
      <w:lang w:val="en-GB" w:eastAsia="en-GB"/>
    </w:rPr>
  </w:style>
  <w:style w:type="paragraph" w:customStyle="1" w:styleId="17">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18">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9">
    <w:name w:val="!ZTE-Observation-2021"/>
    <w:basedOn w:val="1"/>
    <w:qFormat/>
    <w:uiPriority w:val="0"/>
    <w:pPr>
      <w:numPr>
        <w:ilvl w:val="0"/>
        <w:numId w:val="2"/>
      </w:numPr>
      <w:snapToGrid w:val="0"/>
      <w:spacing w:before="50" w:after="50"/>
      <w:ind w:left="1273" w:hanging="1273" w:hangingChars="634"/>
      <w:jc w:val="both"/>
      <w:textAlignment w:val="center"/>
    </w:pPr>
    <w:rPr>
      <w:rFonts w:ascii="Times New Roman" w:hAnsi="Times New Roman" w:cs="宋体" w:eastAsiaTheme="minorEastAsia"/>
      <w:b/>
      <w:bCs/>
      <w:i/>
      <w:iCs/>
      <w:lang w:val="en-GB" w:eastAsia="en-US"/>
    </w:rPr>
  </w:style>
  <w:style w:type="paragraph" w:customStyle="1" w:styleId="20">
    <w:name w:val="!ZTE-Proposal-2021 + 段前: 0.5 行 段后: 0.5 行"/>
    <w:basedOn w:val="1"/>
    <w:qFormat/>
    <w:uiPriority w:val="0"/>
    <w:pPr>
      <w:numPr>
        <w:ilvl w:val="0"/>
        <w:numId w:val="3"/>
      </w:numPr>
      <w:spacing w:before="50" w:after="50"/>
      <w:ind w:left="1132" w:hanging="1132" w:hangingChars="564"/>
      <w:jc w:val="both"/>
    </w:pPr>
    <w:rPr>
      <w:rFonts w:ascii="Times New Roman" w:hAnsi="Times New Roman" w:cs="宋体" w:eastAsiaTheme="minorEastAsia"/>
      <w:b/>
      <w:bCs/>
      <w:iCs/>
      <w:lang w:val="en-GB"/>
    </w:rPr>
  </w:style>
  <w:style w:type="paragraph" w:customStyle="1" w:styleId="21">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22">
    <w:name w:val="sub-observation"/>
    <w:basedOn w:val="21"/>
    <w:qFormat/>
    <w:uiPriority w:val="0"/>
  </w:style>
  <w:style w:type="paragraph" w:customStyle="1" w:styleId="23">
    <w:name w:val="3rd level proposal"/>
    <w:basedOn w:val="21"/>
    <w:qFormat/>
    <w:uiPriority w:val="0"/>
    <w:pPr>
      <w:numPr>
        <w:ilvl w:val="0"/>
        <w:numId w:val="5"/>
      </w:numPr>
      <w:spacing w:before="50" w:after="50"/>
      <w:ind w:left="1199" w:leftChars="496" w:hanging="207" w:hangingChars="103"/>
    </w:pPr>
    <w:rPr>
      <w:rFonts w:ascii="Times New Roman" w:hAnsi="Times New Roman"/>
    </w:rPr>
  </w:style>
  <w:style w:type="paragraph" w:customStyle="1" w:styleId="24">
    <w:name w:val="3rd level observation"/>
    <w:basedOn w:val="22"/>
    <w:qFormat/>
    <w:uiPriority w:val="0"/>
    <w:pPr>
      <w:numPr>
        <w:ilvl w:val="0"/>
        <w:numId w:val="6"/>
      </w:numPr>
      <w:tabs>
        <w:tab w:val="left" w:pos="1134"/>
        <w:tab w:val="clear" w:pos="993"/>
      </w:tabs>
      <w:ind w:left="1131" w:leftChars="496" w:hanging="139" w:hangingChars="69"/>
    </w:pPr>
  </w:style>
  <w:style w:type="paragraph" w:customStyle="1" w:styleId="25">
    <w:name w:val="References"/>
    <w:basedOn w:val="1"/>
    <w:qFormat/>
    <w:uiPriority w:val="0"/>
    <w:pPr>
      <w:numPr>
        <w:ilvl w:val="0"/>
        <w:numId w:val="7"/>
      </w:numPr>
      <w:spacing w:after="60"/>
    </w:pPr>
    <w:rPr>
      <w:szCs w:val="16"/>
    </w:rPr>
  </w:style>
  <w:style w:type="paragraph" w:styleId="26">
    <w:name w:val="List Paragraph"/>
    <w:basedOn w:val="1"/>
    <w:qFormat/>
    <w:uiPriority w:val="34"/>
    <w:pPr>
      <w:spacing w:beforeLines="0"/>
      <w:ind w:left="720"/>
      <w:contextualSpacing/>
    </w:pPr>
    <w:rPr>
      <w:sz w:val="24"/>
      <w:szCs w:val="24"/>
    </w:rPr>
  </w:style>
  <w:style w:type="character" w:customStyle="1" w:styleId="27">
    <w:name w:val="页眉 字符"/>
    <w:basedOn w:val="15"/>
    <w:link w:val="9"/>
    <w:qFormat/>
    <w:uiPriority w:val="99"/>
    <w:rPr>
      <w:rFonts w:eastAsia="Times New Roman"/>
      <w:kern w:val="2"/>
      <w:sz w:val="18"/>
      <w:szCs w:val="18"/>
    </w:rPr>
  </w:style>
  <w:style w:type="paragraph" w:customStyle="1" w:styleId="28">
    <w:name w:val="ZTE-C-proposal"/>
    <w:basedOn w:val="10"/>
    <w:link w:val="31"/>
    <w:qFormat/>
    <w:uiPriority w:val="0"/>
    <w:pPr>
      <w:spacing w:before="120" w:after="120"/>
      <w:ind w:left="1104" w:hanging="1104" w:hangingChars="550"/>
    </w:pPr>
  </w:style>
  <w:style w:type="paragraph" w:customStyle="1" w:styleId="29">
    <w:name w:val="ZTE-C-subProposal"/>
    <w:basedOn w:val="12"/>
    <w:link w:val="34"/>
    <w:qFormat/>
    <w:uiPriority w:val="0"/>
    <w:pPr>
      <w:tabs>
        <w:tab w:val="left" w:pos="993"/>
        <w:tab w:val="right" w:leader="dot" w:pos="9650"/>
      </w:tabs>
      <w:spacing w:before="50" w:after="50"/>
      <w:ind w:left="708" w:leftChars="354"/>
    </w:pPr>
    <w:rPr>
      <w:rFonts w:ascii="Times New Roman" w:hAnsi="Times New Roman" w:eastAsia="Times New Roman"/>
      <w:i w:val="0"/>
    </w:rPr>
  </w:style>
  <w:style w:type="character" w:customStyle="1" w:styleId="30">
    <w:name w:val="TOC 1 字符"/>
    <w:basedOn w:val="15"/>
    <w:link w:val="10"/>
    <w:qFormat/>
    <w:uiPriority w:val="39"/>
    <w:rPr>
      <w:rFonts w:eastAsia="Times New Roman"/>
      <w:b/>
      <w:i/>
      <w:kern w:val="2"/>
    </w:rPr>
  </w:style>
  <w:style w:type="character" w:customStyle="1" w:styleId="31">
    <w:name w:val="ZTE-C-proposal 字符"/>
    <w:basedOn w:val="30"/>
    <w:link w:val="28"/>
    <w:qFormat/>
    <w:uiPriority w:val="0"/>
    <w:rPr>
      <w:rFonts w:eastAsia="Times New Roman"/>
      <w:color w:val="000000"/>
      <w:kern w:val="2"/>
    </w:rPr>
  </w:style>
  <w:style w:type="paragraph" w:customStyle="1" w:styleId="32">
    <w:name w:val="ZTE-C-3rd level proposal"/>
    <w:basedOn w:val="7"/>
    <w:link w:val="37"/>
    <w:qFormat/>
    <w:uiPriority w:val="0"/>
    <w:pPr>
      <w:tabs>
        <w:tab w:val="left" w:pos="1276"/>
        <w:tab w:val="right" w:leader="dot" w:pos="9650"/>
      </w:tabs>
      <w:spacing w:before="120" w:after="120"/>
      <w:ind w:left="1134" w:leftChars="567"/>
    </w:pPr>
  </w:style>
  <w:style w:type="character" w:customStyle="1" w:styleId="33">
    <w:name w:val="TOC 2 字符"/>
    <w:basedOn w:val="15"/>
    <w:link w:val="12"/>
    <w:qFormat/>
    <w:uiPriority w:val="39"/>
    <w:rPr>
      <w:rFonts w:eastAsia="Times New Roman"/>
      <w:b/>
      <w:i/>
      <w:kern w:val="2"/>
    </w:rPr>
  </w:style>
  <w:style w:type="character" w:customStyle="1" w:styleId="34">
    <w:name w:val="ZTE-C-subProposal 字符"/>
    <w:basedOn w:val="33"/>
    <w:link w:val="29"/>
    <w:qFormat/>
    <w:uiPriority w:val="0"/>
    <w:rPr>
      <w:rFonts w:ascii="Times New Roman" w:hAnsi="Times New Roman" w:eastAsia="Times New Roman"/>
      <w:i w:val="0"/>
      <w:kern w:val="2"/>
    </w:rPr>
  </w:style>
  <w:style w:type="paragraph" w:customStyle="1" w:styleId="35">
    <w:name w:val="ZTE-C-Observation"/>
    <w:basedOn w:val="10"/>
    <w:link w:val="39"/>
    <w:qFormat/>
    <w:uiPriority w:val="0"/>
    <w:pPr>
      <w:tabs>
        <w:tab w:val="left" w:pos="1470"/>
        <w:tab w:val="right" w:pos="9650"/>
      </w:tabs>
      <w:spacing w:before="120" w:after="120"/>
      <w:ind w:left="1273" w:hanging="1273" w:hangingChars="634"/>
    </w:pPr>
  </w:style>
  <w:style w:type="character" w:customStyle="1" w:styleId="36">
    <w:name w:val="TOC 3 字符"/>
    <w:basedOn w:val="15"/>
    <w:link w:val="7"/>
    <w:qFormat/>
    <w:uiPriority w:val="39"/>
    <w:rPr>
      <w:rFonts w:eastAsia="Times New Roman"/>
      <w:b/>
      <w:i/>
      <w:kern w:val="2"/>
    </w:rPr>
  </w:style>
  <w:style w:type="character" w:customStyle="1" w:styleId="37">
    <w:name w:val="ZTE-C-3rd level proposal 字符"/>
    <w:basedOn w:val="36"/>
    <w:link w:val="32"/>
    <w:qFormat/>
    <w:uiPriority w:val="0"/>
    <w:rPr>
      <w:rFonts w:eastAsia="Times New Roman"/>
      <w:kern w:val="2"/>
    </w:rPr>
  </w:style>
  <w:style w:type="paragraph" w:customStyle="1" w:styleId="38">
    <w:name w:val="ZTE-C-sub-Observation"/>
    <w:basedOn w:val="12"/>
    <w:link w:val="41"/>
    <w:qFormat/>
    <w:uiPriority w:val="0"/>
    <w:pPr>
      <w:tabs>
        <w:tab w:val="left" w:pos="993"/>
        <w:tab w:val="right" w:pos="9650"/>
      </w:tabs>
      <w:spacing w:before="120" w:after="120"/>
      <w:ind w:left="850" w:leftChars="425"/>
    </w:pPr>
  </w:style>
  <w:style w:type="character" w:customStyle="1" w:styleId="39">
    <w:name w:val="ZTE-C-Observation 字符"/>
    <w:basedOn w:val="30"/>
    <w:link w:val="35"/>
    <w:qFormat/>
    <w:uiPriority w:val="0"/>
    <w:rPr>
      <w:rFonts w:eastAsia="Times New Roman"/>
      <w:kern w:val="2"/>
    </w:rPr>
  </w:style>
  <w:style w:type="paragraph" w:customStyle="1" w:styleId="40">
    <w:name w:val="ZTE-C-3rd level Observation"/>
    <w:basedOn w:val="7"/>
    <w:link w:val="42"/>
    <w:qFormat/>
    <w:uiPriority w:val="0"/>
    <w:pPr>
      <w:tabs>
        <w:tab w:val="left" w:pos="1260"/>
        <w:tab w:val="right" w:pos="9650"/>
      </w:tabs>
      <w:spacing w:before="120" w:after="120"/>
      <w:ind w:left="1134" w:leftChars="567"/>
    </w:pPr>
  </w:style>
  <w:style w:type="character" w:customStyle="1" w:styleId="41">
    <w:name w:val="ZTE-C-sub-Observation 字符"/>
    <w:basedOn w:val="33"/>
    <w:link w:val="38"/>
    <w:qFormat/>
    <w:uiPriority w:val="0"/>
    <w:rPr>
      <w:rFonts w:eastAsia="Times New Roman"/>
      <w:kern w:val="2"/>
    </w:rPr>
  </w:style>
  <w:style w:type="character" w:customStyle="1" w:styleId="42">
    <w:name w:val="ZTE-C-3rd level Observation 字符"/>
    <w:basedOn w:val="36"/>
    <w:link w:val="40"/>
    <w:qFormat/>
    <w:uiPriority w:val="0"/>
    <w:rPr>
      <w:rFonts w:eastAsia="Times New Roman"/>
      <w:kern w:val="2"/>
    </w:rPr>
  </w:style>
  <w:style w:type="character" w:customStyle="1" w:styleId="43">
    <w:name w:val="页脚 字符"/>
    <w:basedOn w:val="15"/>
    <w:link w:val="8"/>
    <w:qFormat/>
    <w:uiPriority w:val="99"/>
    <w:rPr>
      <w:rFonts w:eastAsia="Times New Roman"/>
      <w:kern w:val="2"/>
      <w:sz w:val="18"/>
      <w:szCs w:val="18"/>
    </w:rPr>
  </w:style>
  <w:style w:type="paragraph" w:customStyle="1" w:styleId="4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45">
    <w:name w:val="TAH"/>
    <w:basedOn w:val="46"/>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46">
    <w:name w:val="TAC"/>
    <w:basedOn w:val="47"/>
    <w:qFormat/>
    <w:uiPriority w:val="0"/>
    <w:pPr>
      <w:jc w:val="center"/>
    </w:pPr>
    <w:rPr>
      <w:szCs w:val="20"/>
      <w:lang w:eastAsia="en-US"/>
    </w:rPr>
  </w:style>
  <w:style w:type="paragraph" w:customStyle="1" w:styleId="47">
    <w:name w:val="TAL"/>
    <w:basedOn w:val="1"/>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paragraph" w:customStyle="1" w:styleId="48">
    <w:name w:val="Agreement"/>
    <w:basedOn w:val="1"/>
    <w:next w:val="17"/>
    <w:qFormat/>
    <w:uiPriority w:val="99"/>
    <w:pPr>
      <w:numPr>
        <w:ilvl w:val="0"/>
        <w:numId w:val="8"/>
      </w:numPr>
      <w:spacing w:before="60"/>
    </w:pPr>
    <w:rPr>
      <w:b/>
    </w:rPr>
  </w:style>
  <w:style w:type="paragraph" w:customStyle="1" w:styleId="49">
    <w:name w:val="NO"/>
    <w:basedOn w:val="1"/>
    <w:qFormat/>
    <w:uiPriority w:val="0"/>
    <w:pPr>
      <w:keepLines/>
      <w:ind w:left="1135" w:hanging="851"/>
    </w:pPr>
  </w:style>
  <w:style w:type="paragraph" w:customStyle="1" w:styleId="50">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0</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2023-09-29T06:59:36Z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